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8" w:rsidRDefault="002F4F47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Дольщикам на заметку</w:t>
      </w:r>
    </w:p>
    <w:p w:rsidR="00CD6B88" w:rsidRPr="00F03943" w:rsidRDefault="002F4F47" w:rsidP="00F03943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Совсем скоро, с 1 июля, меняется порядок приобретения первичного жилья с помощью долевого участия в строительстве. Какие новшества ожидаются в сфере долевого строительства? К чему надо быть готовым потенциальным дольщикам? Что необходимо знать участникам долевого строительства, заключившим договор до 1 июля 2019 года?</w:t>
      </w:r>
    </w:p>
    <w:p w:rsidR="00F03943" w:rsidRPr="00F03943" w:rsidRDefault="00F03943" w:rsidP="00F03943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  <w:r>
        <w:rPr>
          <w:rStyle w:val="vrez"/>
          <w:rFonts w:ascii="Segoe UI" w:hAnsi="Segoe UI" w:cs="Segoe UI"/>
          <w:sz w:val="28"/>
          <w:szCs w:val="28"/>
        </w:rPr>
        <w:t>Изменения законодательства касаются объектов, в отношении которых договора участия в долевом строительстве (ДДУ) будут представлены на государственную регистрацию после 1 июля 2019 года.</w:t>
      </w:r>
    </w:p>
    <w:p w:rsidR="00CD6B88" w:rsidRDefault="00CD6B88">
      <w:pPr>
        <w:pStyle w:val="a5"/>
        <w:spacing w:before="120" w:after="120" w:line="280" w:lineRule="atLeast"/>
        <w:ind w:left="426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С 1 июля 2019 года застройщики перейдут на систему проектного финансирования строительства. Теперь</w:t>
      </w:r>
      <w:r>
        <w:rPr>
          <w:rFonts w:ascii="Segoe UI" w:hAnsi="Segoe UI" w:cs="Segoe UI"/>
          <w:sz w:val="28"/>
          <w:szCs w:val="28"/>
        </w:rPr>
        <w:t>участник долевого строительства не будет рассчитываться с застройщиком напрямую, а должен переводить денежные средства на специальный банковский счет или эскроу-счет. При этом перечисление на счёт осуществляется дольщиком после государственной регистрации ДДУ в Росреестре.</w:t>
      </w:r>
    </w:p>
    <w:p w:rsidR="00CD6B88" w:rsidRDefault="00CD6B88">
      <w:pPr>
        <w:pStyle w:val="a5"/>
        <w:spacing w:before="120" w:after="120" w:line="280" w:lineRule="atLeast"/>
        <w:ind w:left="426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ДДУ</w:t>
      </w:r>
      <w:r>
        <w:rPr>
          <w:rFonts w:ascii="Segoe UI" w:eastAsiaTheme="minorHAnsi" w:hAnsi="Segoe UI" w:cs="Segoe UI"/>
          <w:sz w:val="28"/>
          <w:szCs w:val="28"/>
        </w:rPr>
        <w:t>, представленный в Росреестр на государственную регистрацию, должен в обязательном порядке содержать сведения об э</w:t>
      </w:r>
      <w:r>
        <w:rPr>
          <w:rFonts w:ascii="Segoe UI" w:hAnsi="Segoe UI" w:cs="Segoe UI"/>
          <w:sz w:val="28"/>
          <w:szCs w:val="28"/>
        </w:rPr>
        <w:t xml:space="preserve">скроу-счёте, об уполномоченном </w:t>
      </w:r>
      <w:r>
        <w:rPr>
          <w:rFonts w:ascii="Segoe UI" w:hAnsi="Segoe UI" w:cs="Segoe UI"/>
          <w:sz w:val="28"/>
        </w:rPr>
        <w:t>банке, где открыт счёт (наименование, фирменное наименование, место нахождения и адрес, адрес электронной почты, номер телефона).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  <w:szCs w:val="28"/>
        </w:rPr>
        <w:t>ДДУ</w:t>
      </w:r>
      <w:r>
        <w:rPr>
          <w:rFonts w:ascii="Segoe UI" w:eastAsiaTheme="minorHAnsi" w:hAnsi="Segoe UI" w:cs="Segoe UI"/>
          <w:sz w:val="28"/>
          <w:szCs w:val="28"/>
        </w:rPr>
        <w:t xml:space="preserve"> должен также</w:t>
      </w:r>
      <w:r>
        <w:rPr>
          <w:rFonts w:ascii="Segoe UI" w:hAnsi="Segoe UI" w:cs="Segoe UI"/>
          <w:sz w:val="28"/>
        </w:rPr>
        <w:t xml:space="preserve"> содержать: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определение подлежащего передаче конкретного объекта долевого строительства в соответствии с проектной документацией;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срок передачи застройщиком объекта долевого строительства участнику долевого строительства;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цену договора, сроки и порядок ее уплаты;</w:t>
      </w:r>
    </w:p>
    <w:p w:rsidR="00CD6B88" w:rsidRDefault="002F4F47">
      <w:pPr>
        <w:spacing w:after="0" w:line="240" w:lineRule="auto"/>
        <w:ind w:firstLine="53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- гарантийный срок на объект долевого строительства.</w:t>
      </w:r>
      <w:r>
        <w:rPr>
          <w:rFonts w:ascii="Segoe UI" w:hAnsi="Segoe UI" w:cs="Segoe UI"/>
          <w:sz w:val="28"/>
        </w:rPr>
        <w:br/>
      </w: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Если застройщик по каким-то причинам не построит планируемый объект либо обанкротится, средства, которые находятся на эскроу-счете, должны быть возвращены покупателю в полном объеме. </w:t>
      </w:r>
    </w:p>
    <w:p w:rsidR="00CD6B88" w:rsidRDefault="00CD6B88">
      <w:pPr>
        <w:pStyle w:val="a5"/>
        <w:spacing w:after="0" w:line="280" w:lineRule="atLeast"/>
        <w:ind w:left="425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after="0" w:line="280" w:lineRule="atLeast"/>
        <w:ind w:left="425" w:hanging="42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На случай проблем с деятельностью банка, в котором открыт спецсчёт, средства на эскроу должны быть застрахованы в Агентстве по страхованию вкладов. </w:t>
      </w:r>
    </w:p>
    <w:p w:rsidR="00CD6B88" w:rsidRDefault="00CD6B88">
      <w:pPr>
        <w:spacing w:after="0" w:line="280" w:lineRule="atLeast"/>
        <w:jc w:val="both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</w:rPr>
        <w:t>В случае уступки требований по ДДУ, для государственной регистрации, помимо оригинала договора об уступке прав, в Росреестр необходимо представить справку, подтверждающую полную или частичную уплату цены ДДУ застройщику, с указанием размеров и сроков внесения платежей и выданная таким застройщиком или банком, через который осуществлялись указанные платежи.</w:t>
      </w:r>
    </w:p>
    <w:p w:rsidR="00CD6B88" w:rsidRDefault="00CD6B88">
      <w:pPr>
        <w:pStyle w:val="a5"/>
        <w:rPr>
          <w:rFonts w:ascii="Segoe UI" w:hAnsi="Segoe UI" w:cs="Segoe UI"/>
          <w:b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Для государственной регистрации права участника долевого строительства на объект долевого строительства представляется подлинный экземпляр ДДУ или договора об уступке прав требований по ДДУ, который после государственной регистрации права возвращается правообладателю, и передаточный акт или иной документ о передаче объекта долевого строительства.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Постановлением Правительства РФ от 22.04.2019 № 480 определены критерии, при условии соответствия которым застройщику после 1 июля 2019 года предоставляется право на привлечение денежных средств участников долевого строительства без использования эскроу-счетов. Так, заключить ДДУ</w:t>
      </w:r>
      <w:r>
        <w:rPr>
          <w:rStyle w:val="vrez"/>
          <w:rFonts w:ascii="Segoe UI" w:hAnsi="Segoe UI" w:cs="Segoe UI"/>
          <w:sz w:val="28"/>
          <w:szCs w:val="28"/>
        </w:rPr>
        <w:t xml:space="preserve"> без открытия счета эскроу застройщик сможет, если до 1 июля 2019 года им заключены ДДУ не менее чем на 10% квартир в доме и </w:t>
      </w:r>
      <w:r>
        <w:rPr>
          <w:rFonts w:ascii="Segoe UI" w:hAnsi="Segoe UI" w:cs="Segoe UI"/>
          <w:sz w:val="28"/>
          <w:szCs w:val="28"/>
        </w:rPr>
        <w:t>степень готовности дома составляет  не менее 30%, кроме отдельных исключений. Например, если это «проблемный» дом и строительство завершает другой застройщик, степень готовности дома должна составлять не менее 6%.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CD6B88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новым требованиям застройщики должны заключать ДДУ и на продажу таунхаусов, то есть на объекты малоэтажного строительства.</w:t>
      </w:r>
    </w:p>
    <w:p w:rsidR="00CD6B88" w:rsidRDefault="00CD6B88">
      <w:pPr>
        <w:pStyle w:val="a5"/>
        <w:rPr>
          <w:rFonts w:ascii="Segoe UI" w:hAnsi="Segoe UI" w:cs="Segoe UI"/>
          <w:sz w:val="28"/>
          <w:szCs w:val="28"/>
        </w:rPr>
      </w:pPr>
    </w:p>
    <w:p w:rsidR="006456A7" w:rsidRDefault="002F4F47">
      <w:pPr>
        <w:pStyle w:val="a5"/>
        <w:numPr>
          <w:ilvl w:val="0"/>
          <w:numId w:val="3"/>
        </w:numPr>
        <w:spacing w:before="120" w:after="120" w:line="280" w:lineRule="atLeast"/>
        <w:ind w:left="426" w:hanging="4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 1 июля 2019 года застройщики могут заключать ДДУ либо по действующим правилам, либо с использованием эскроу-счёта. </w:t>
      </w:r>
    </w:p>
    <w:p w:rsidR="00CD6B88" w:rsidRPr="006456A7" w:rsidRDefault="002F4F47" w:rsidP="006456A7">
      <w:pPr>
        <w:spacing w:before="120" w:after="120" w:line="280" w:lineRule="atLeast"/>
        <w:ind w:firstLine="426"/>
        <w:jc w:val="both"/>
        <w:rPr>
          <w:rFonts w:ascii="Segoe UI" w:hAnsi="Segoe UI" w:cs="Segoe UI"/>
          <w:sz w:val="28"/>
          <w:szCs w:val="28"/>
        </w:rPr>
      </w:pPr>
      <w:r w:rsidRPr="006456A7">
        <w:rPr>
          <w:rFonts w:ascii="Segoe UI" w:hAnsi="Segoe UI" w:cs="Segoe UI"/>
          <w:sz w:val="28"/>
          <w:szCs w:val="28"/>
        </w:rPr>
        <w:lastRenderedPageBreak/>
        <w:t>По данным Управления Росреестра по Республике Башкортостан на территории Республики Башкортостан на сегодняшний день зарегистрировано 154 ДДУ с эскроу-счетами по 2</w:t>
      </w:r>
      <w:r w:rsidR="00A12DB3" w:rsidRPr="006456A7">
        <w:rPr>
          <w:rFonts w:ascii="Segoe UI" w:hAnsi="Segoe UI" w:cs="Segoe UI"/>
          <w:sz w:val="28"/>
          <w:szCs w:val="28"/>
        </w:rPr>
        <w:t>-м</w:t>
      </w:r>
      <w:r w:rsidRPr="006456A7">
        <w:rPr>
          <w:rFonts w:ascii="Segoe UI" w:hAnsi="Segoe UI" w:cs="Segoe UI"/>
          <w:sz w:val="28"/>
          <w:szCs w:val="28"/>
        </w:rPr>
        <w:t xml:space="preserve"> многоквартирным домам</w:t>
      </w:r>
      <w:r w:rsidR="00D5023A" w:rsidRPr="006456A7">
        <w:rPr>
          <w:rFonts w:ascii="Segoe UI" w:hAnsi="Segoe UI" w:cs="Segoe UI"/>
          <w:sz w:val="28"/>
          <w:szCs w:val="28"/>
        </w:rPr>
        <w:t xml:space="preserve"> в Уфе</w:t>
      </w:r>
      <w:r w:rsidRPr="006456A7">
        <w:rPr>
          <w:rFonts w:ascii="Segoe UI" w:hAnsi="Segoe UI" w:cs="Segoe UI"/>
          <w:sz w:val="28"/>
          <w:szCs w:val="28"/>
        </w:rPr>
        <w:t xml:space="preserve">. </w:t>
      </w:r>
    </w:p>
    <w:p w:rsidR="00CD6B88" w:rsidRDefault="00CD6B88">
      <w:pPr>
        <w:spacing w:before="120" w:after="120" w:line="280" w:lineRule="atLeast"/>
        <w:jc w:val="both"/>
        <w:rPr>
          <w:rFonts w:ascii="Segoe UI" w:hAnsi="Segoe UI" w:cs="Segoe UI"/>
          <w:sz w:val="28"/>
        </w:rPr>
      </w:pPr>
    </w:p>
    <w:p w:rsidR="00CD6B88" w:rsidRDefault="00CD6B88">
      <w:pPr>
        <w:pStyle w:val="a5"/>
        <w:rPr>
          <w:rFonts w:ascii="Segoe UI" w:hAnsi="Segoe UI" w:cs="Segoe UI"/>
          <w:sz w:val="28"/>
        </w:rPr>
      </w:pPr>
    </w:p>
    <w:p w:rsidR="00CD6B88" w:rsidRDefault="00CD6B88">
      <w:pPr>
        <w:pStyle w:val="a5"/>
        <w:spacing w:before="120" w:after="120" w:line="280" w:lineRule="atLeast"/>
        <w:ind w:left="426"/>
        <w:jc w:val="both"/>
        <w:rPr>
          <w:rFonts w:ascii="Segoe UI" w:hAnsi="Segoe UI" w:cs="Segoe UI"/>
          <w:sz w:val="28"/>
        </w:rPr>
      </w:pPr>
    </w:p>
    <w:p w:rsidR="00CD6B88" w:rsidRDefault="00CD6B88">
      <w:pPr>
        <w:pStyle w:val="a6"/>
        <w:ind w:firstLine="567"/>
        <w:rPr>
          <w:rFonts w:ascii="Segoe UI" w:hAnsi="Segoe UI" w:cs="Segoe UI"/>
          <w:b/>
        </w:rPr>
      </w:pPr>
    </w:p>
    <w:sectPr w:rsidR="00CD6B88" w:rsidSect="007F57E4">
      <w:footerReference w:type="default" r:id="rId9"/>
      <w:pgSz w:w="11906" w:h="16838"/>
      <w:pgMar w:top="1134" w:right="991" w:bottom="719" w:left="1418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D6" w:rsidRDefault="00AB3BD6">
      <w:pPr>
        <w:spacing w:after="0" w:line="240" w:lineRule="auto"/>
      </w:pPr>
      <w:r>
        <w:separator/>
      </w:r>
    </w:p>
  </w:endnote>
  <w:endnote w:type="continuationSeparator" w:id="0">
    <w:p w:rsidR="00AB3BD6" w:rsidRDefault="00AB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8" w:rsidRDefault="007F57E4">
    <w:pPr>
      <w:pStyle w:val="a3"/>
      <w:jc w:val="right"/>
    </w:pPr>
    <w:r>
      <w:fldChar w:fldCharType="begin"/>
    </w:r>
    <w:r w:rsidR="002F4F47">
      <w:instrText xml:space="preserve"> PAGE   \* MERGEFORMAT </w:instrText>
    </w:r>
    <w:r>
      <w:fldChar w:fldCharType="separate"/>
    </w:r>
    <w:r w:rsidR="00B24E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D6" w:rsidRDefault="00AB3BD6">
      <w:pPr>
        <w:spacing w:after="0" w:line="240" w:lineRule="auto"/>
      </w:pPr>
      <w:r>
        <w:separator/>
      </w:r>
    </w:p>
  </w:footnote>
  <w:footnote w:type="continuationSeparator" w:id="0">
    <w:p w:rsidR="00AB3BD6" w:rsidRDefault="00AB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ED4"/>
    <w:multiLevelType w:val="hybridMultilevel"/>
    <w:tmpl w:val="7BBECE1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41992"/>
    <w:multiLevelType w:val="multilevel"/>
    <w:tmpl w:val="3DB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417F9"/>
    <w:multiLevelType w:val="hybridMultilevel"/>
    <w:tmpl w:val="3F74C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00A3"/>
    <w:multiLevelType w:val="multilevel"/>
    <w:tmpl w:val="490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8"/>
    <w:rsid w:val="001F4C0E"/>
    <w:rsid w:val="0026192B"/>
    <w:rsid w:val="002C6090"/>
    <w:rsid w:val="002F4F47"/>
    <w:rsid w:val="0053707D"/>
    <w:rsid w:val="006456A7"/>
    <w:rsid w:val="007F57E4"/>
    <w:rsid w:val="008024B5"/>
    <w:rsid w:val="00A12DB3"/>
    <w:rsid w:val="00AB3BD6"/>
    <w:rsid w:val="00B24E8C"/>
    <w:rsid w:val="00CD6B88"/>
    <w:rsid w:val="00D5023A"/>
    <w:rsid w:val="00E74C72"/>
    <w:rsid w:val="00F0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79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96F"/>
    <w:pPr>
      <w:ind w:left="720"/>
      <w:contextualSpacing/>
    </w:pPr>
  </w:style>
  <w:style w:type="paragraph" w:styleId="a6">
    <w:name w:val="No Spacing"/>
    <w:qFormat/>
    <w:rsid w:val="001179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17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645A9"/>
    <w:rPr>
      <w:color w:val="0000FF"/>
      <w:u w:val="single"/>
    </w:rPr>
  </w:style>
  <w:style w:type="character" w:customStyle="1" w:styleId="name-link">
    <w:name w:val="name-link"/>
    <w:basedOn w:val="a0"/>
    <w:rsid w:val="003B2FAC"/>
  </w:style>
  <w:style w:type="character" w:styleId="a8">
    <w:name w:val="Strong"/>
    <w:basedOn w:val="a0"/>
    <w:uiPriority w:val="22"/>
    <w:qFormat/>
    <w:rsid w:val="00E10B47"/>
    <w:rPr>
      <w:b/>
      <w:bCs/>
    </w:rPr>
  </w:style>
  <w:style w:type="paragraph" w:styleId="a9">
    <w:name w:val="Normal (Web)"/>
    <w:basedOn w:val="a"/>
    <w:uiPriority w:val="99"/>
    <w:unhideWhenUsed/>
    <w:rsid w:val="00E10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rez">
    <w:name w:val="vrez"/>
    <w:basedOn w:val="a0"/>
    <w:rsid w:val="00A0713D"/>
  </w:style>
  <w:style w:type="character" w:customStyle="1" w:styleId="30">
    <w:name w:val="Заголовок 3 Знак"/>
    <w:basedOn w:val="a0"/>
    <w:link w:val="3"/>
    <w:uiPriority w:val="9"/>
    <w:rsid w:val="0075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79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96F"/>
    <w:pPr>
      <w:ind w:left="720"/>
      <w:contextualSpacing/>
    </w:pPr>
  </w:style>
  <w:style w:type="paragraph" w:styleId="a6">
    <w:name w:val="No Spacing"/>
    <w:qFormat/>
    <w:rsid w:val="001179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17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645A9"/>
    <w:rPr>
      <w:color w:val="0000FF"/>
      <w:u w:val="single"/>
    </w:rPr>
  </w:style>
  <w:style w:type="character" w:customStyle="1" w:styleId="name-link">
    <w:name w:val="name-link"/>
    <w:basedOn w:val="a0"/>
    <w:rsid w:val="003B2FAC"/>
  </w:style>
  <w:style w:type="character" w:styleId="a8">
    <w:name w:val="Strong"/>
    <w:basedOn w:val="a0"/>
    <w:uiPriority w:val="22"/>
    <w:qFormat/>
    <w:rsid w:val="00E10B47"/>
    <w:rPr>
      <w:b/>
      <w:bCs/>
    </w:rPr>
  </w:style>
  <w:style w:type="paragraph" w:styleId="a9">
    <w:name w:val="Normal (Web)"/>
    <w:basedOn w:val="a"/>
    <w:uiPriority w:val="99"/>
    <w:unhideWhenUsed/>
    <w:rsid w:val="00E10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rez">
    <w:name w:val="vrez"/>
    <w:basedOn w:val="a0"/>
    <w:rsid w:val="00A0713D"/>
  </w:style>
  <w:style w:type="character" w:customStyle="1" w:styleId="30">
    <w:name w:val="Заголовок 3 Знак"/>
    <w:basedOn w:val="a0"/>
    <w:link w:val="3"/>
    <w:uiPriority w:val="9"/>
    <w:rsid w:val="0075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8F4D-A36C-4E47-A60F-6071A78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admin</cp:lastModifiedBy>
  <cp:revision>2</cp:revision>
  <cp:lastPrinted>2018-07-06T05:28:00Z</cp:lastPrinted>
  <dcterms:created xsi:type="dcterms:W3CDTF">2019-06-20T12:08:00Z</dcterms:created>
  <dcterms:modified xsi:type="dcterms:W3CDTF">2019-06-20T12:08:00Z</dcterms:modified>
</cp:coreProperties>
</file>