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AA" w:rsidRPr="006F7DBC" w:rsidRDefault="003E22AA" w:rsidP="005D385C">
      <w:pPr>
        <w:pStyle w:val="BodyTextIndent"/>
        <w:shd w:val="clear" w:color="auto" w:fill="FFFFFF"/>
        <w:tabs>
          <w:tab w:val="right" w:leader="dot" w:pos="9498"/>
        </w:tabs>
        <w:ind w:firstLine="0"/>
        <w:jc w:val="center"/>
        <w:rPr>
          <w:b/>
          <w:sz w:val="28"/>
        </w:rPr>
      </w:pPr>
      <w:r>
        <w:rPr>
          <w:b/>
          <w:sz w:val="28"/>
        </w:rPr>
        <w:t xml:space="preserve">Доклад о </w:t>
      </w:r>
      <w:r w:rsidRPr="006F7DBC">
        <w:rPr>
          <w:b/>
          <w:sz w:val="28"/>
        </w:rPr>
        <w:t xml:space="preserve"> реализации и оценке эффективности реализации муниципальных программ на территории </w:t>
      </w:r>
      <w:r>
        <w:rPr>
          <w:b/>
          <w:sz w:val="28"/>
        </w:rPr>
        <w:t>сельского поселения Субханкуловкий сельсовет муниципального района Туймазинский район республики Башкортостан</w:t>
      </w:r>
    </w:p>
    <w:p w:rsidR="003E22AA" w:rsidRPr="006F7DBC" w:rsidRDefault="003E22AA" w:rsidP="005D385C">
      <w:pPr>
        <w:pStyle w:val="BodyTextIndent"/>
        <w:shd w:val="clear" w:color="auto" w:fill="FFFFFF"/>
        <w:ind w:firstLine="0"/>
        <w:jc w:val="center"/>
        <w:rPr>
          <w:b/>
          <w:sz w:val="28"/>
        </w:rPr>
      </w:pPr>
      <w:r w:rsidRPr="006F7DBC">
        <w:rPr>
          <w:b/>
          <w:sz w:val="28"/>
        </w:rPr>
        <w:t>в 2018 году</w:t>
      </w:r>
    </w:p>
    <w:p w:rsidR="003E22AA" w:rsidRPr="006F7DBC" w:rsidRDefault="003E22AA" w:rsidP="005D385C">
      <w:pPr>
        <w:pStyle w:val="BodyTextIndent"/>
        <w:shd w:val="clear" w:color="auto" w:fill="FFFFFF"/>
        <w:ind w:firstLine="0"/>
        <w:jc w:val="center"/>
        <w:rPr>
          <w:b/>
          <w:sz w:val="28"/>
        </w:rPr>
      </w:pPr>
    </w:p>
    <w:p w:rsidR="003E22AA" w:rsidRPr="006F7DBC" w:rsidRDefault="003E22AA" w:rsidP="005D385C">
      <w:pPr>
        <w:shd w:val="clear" w:color="auto" w:fill="FFFFFF"/>
        <w:ind w:firstLine="709"/>
        <w:jc w:val="both"/>
        <w:rPr>
          <w:sz w:val="28"/>
        </w:rPr>
      </w:pPr>
      <w:r w:rsidRPr="006F7DBC">
        <w:rPr>
          <w:sz w:val="28"/>
        </w:rPr>
        <w:t>Одним из эффективно действующих инструментов программно-целевого</w:t>
      </w:r>
      <w:r w:rsidRPr="006F7DBC">
        <w:rPr>
          <w:sz w:val="26"/>
        </w:rPr>
        <w:t xml:space="preserve"> </w:t>
      </w:r>
      <w:r w:rsidRPr="006F7DBC">
        <w:rPr>
          <w:sz w:val="28"/>
        </w:rPr>
        <w:t xml:space="preserve">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w:t>
      </w:r>
      <w:r>
        <w:rPr>
          <w:sz w:val="28"/>
        </w:rPr>
        <w:t xml:space="preserve">сельского поселения </w:t>
      </w:r>
      <w:r w:rsidRPr="006F7DBC">
        <w:rPr>
          <w:sz w:val="28"/>
        </w:rPr>
        <w:t xml:space="preserve">, обеспечить прозрачность и обоснованность процесса выбора целей, выбрать наиболее эффективные пути достижения результатов.  </w:t>
      </w:r>
    </w:p>
    <w:p w:rsidR="003E22AA" w:rsidRPr="006F7DBC" w:rsidRDefault="003E22AA" w:rsidP="005D385C">
      <w:pPr>
        <w:ind w:firstLine="709"/>
        <w:jc w:val="both"/>
        <w:rPr>
          <w:sz w:val="28"/>
        </w:rPr>
      </w:pPr>
      <w:r w:rsidRPr="006F7DBC">
        <w:rPr>
          <w:sz w:val="28"/>
        </w:rPr>
        <w:t>Формирование муниципальных программ осуществляется в соответствии с приоритетами социально-экономического развития</w:t>
      </w:r>
      <w:r>
        <w:rPr>
          <w:sz w:val="28"/>
        </w:rPr>
        <w:t xml:space="preserve"> территории сельского поселения </w:t>
      </w:r>
      <w:r w:rsidRPr="006F7DBC">
        <w:rPr>
          <w:sz w:val="28"/>
        </w:rPr>
        <w:t xml:space="preserve"> </w:t>
      </w:r>
      <w:r>
        <w:rPr>
          <w:sz w:val="28"/>
        </w:rPr>
        <w:t xml:space="preserve">Субханкуловский сельсовет муниципального района Туймазинский район РБ </w:t>
      </w:r>
      <w:r w:rsidRPr="006F7DBC">
        <w:rPr>
          <w:sz w:val="28"/>
        </w:rPr>
        <w:t>в соответствии с положениями программных документов, иных правовых актов Российской Федерации, муниципальных правовых актов в соответствующей сфере деятельности.</w:t>
      </w:r>
    </w:p>
    <w:p w:rsidR="003E22AA" w:rsidRDefault="003E22AA" w:rsidP="005D385C">
      <w:pPr>
        <w:pStyle w:val="BodyTextIndent"/>
        <w:shd w:val="clear" w:color="auto" w:fill="FFFFFF"/>
        <w:rPr>
          <w:sz w:val="28"/>
        </w:rPr>
      </w:pPr>
      <w:r>
        <w:rPr>
          <w:sz w:val="28"/>
        </w:rPr>
        <w:t>Постановлениями главы администрации сельского поселения Субханкуловский сельсовет муниципального района Туймазинский район РБ утверждены муниципальные программы:</w:t>
      </w:r>
    </w:p>
    <w:p w:rsidR="003E22AA" w:rsidRDefault="003E22AA" w:rsidP="005D385C">
      <w:pPr>
        <w:pStyle w:val="BodyTextIndent"/>
        <w:shd w:val="clear" w:color="auto" w:fill="FFFFFF"/>
        <w:rPr>
          <w:sz w:val="28"/>
        </w:rPr>
      </w:pPr>
      <w:r>
        <w:rPr>
          <w:sz w:val="28"/>
        </w:rPr>
        <w:t>№ 330 от 24.11.2017 г. « Формирование современной городской среды сельского поселения Субханкуловский сельсовет муниципального района Туймазинский район РБ на 2018-2022 годы»;</w:t>
      </w:r>
    </w:p>
    <w:p w:rsidR="003E22AA" w:rsidRDefault="003E22AA" w:rsidP="005D385C">
      <w:pPr>
        <w:pStyle w:val="BodyTextIndent"/>
        <w:shd w:val="clear" w:color="auto" w:fill="FFFFFF"/>
        <w:rPr>
          <w:sz w:val="28"/>
        </w:rPr>
      </w:pPr>
      <w:r>
        <w:rPr>
          <w:sz w:val="28"/>
        </w:rPr>
        <w:t>№ 121 от 27.07.2018 г. «Газификация населенных пунктов   сельского поселения Субханкуловский сельсовет муниципального района Туймазинский район РБ на 2018-2023 годы»;</w:t>
      </w:r>
    </w:p>
    <w:p w:rsidR="003E22AA" w:rsidRPr="006F7DBC" w:rsidRDefault="003E22AA" w:rsidP="005D385C">
      <w:pPr>
        <w:pStyle w:val="BodyTextIndent"/>
        <w:shd w:val="clear" w:color="auto" w:fill="FFFFFF"/>
        <w:rPr>
          <w:sz w:val="28"/>
        </w:rPr>
      </w:pPr>
      <w:r w:rsidRPr="006F7DBC">
        <w:rPr>
          <w:sz w:val="28"/>
        </w:rPr>
        <w:t>В 2018 году наибольшая доля финансирования программ доводилась:</w:t>
      </w:r>
    </w:p>
    <w:p w:rsidR="003E22AA" w:rsidRPr="006F7DBC" w:rsidRDefault="003E22AA" w:rsidP="005D385C">
      <w:pPr>
        <w:pStyle w:val="BodyTextIndent"/>
        <w:shd w:val="clear" w:color="auto" w:fill="FFFFFF"/>
        <w:rPr>
          <w:sz w:val="28"/>
        </w:rPr>
      </w:pPr>
      <w:r w:rsidRPr="006F7DBC">
        <w:rPr>
          <w:sz w:val="28"/>
        </w:rPr>
        <w:t xml:space="preserve">- </w:t>
      </w:r>
      <w:r>
        <w:rPr>
          <w:sz w:val="28"/>
        </w:rPr>
        <w:t>в сфере благоустройства « Формирование современной городской среды сельского поселения Субханкуловский сельсовет муниципального района Туймазинский район РБ на 2018-2022 годы»</w:t>
      </w:r>
    </w:p>
    <w:p w:rsidR="003E22AA" w:rsidRPr="006F7DBC" w:rsidRDefault="003E22AA" w:rsidP="005D385C">
      <w:pPr>
        <w:pStyle w:val="BodyTextIndent"/>
        <w:shd w:val="clear" w:color="auto" w:fill="FFFFFF"/>
        <w:rPr>
          <w:sz w:val="28"/>
        </w:rPr>
      </w:pPr>
      <w:r w:rsidRPr="006F7DBC">
        <w:rPr>
          <w:sz w:val="28"/>
        </w:rPr>
        <w:t xml:space="preserve">Реализация муниципальных программ проводилась средствами федерального, </w:t>
      </w:r>
      <w:r>
        <w:rPr>
          <w:sz w:val="28"/>
        </w:rPr>
        <w:t xml:space="preserve">республиканского </w:t>
      </w:r>
      <w:r w:rsidRPr="006F7DBC">
        <w:rPr>
          <w:sz w:val="28"/>
        </w:rPr>
        <w:t xml:space="preserve"> и местного бюджетов.</w:t>
      </w:r>
    </w:p>
    <w:p w:rsidR="003E22AA" w:rsidRPr="006F7DBC" w:rsidRDefault="003E22AA" w:rsidP="005D385C">
      <w:pPr>
        <w:pStyle w:val="BodyTextIndent"/>
        <w:shd w:val="clear" w:color="auto" w:fill="FFFFFF"/>
        <w:ind w:firstLine="1080"/>
        <w:rPr>
          <w:sz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913"/>
        <w:gridCol w:w="1413"/>
        <w:gridCol w:w="1356"/>
        <w:gridCol w:w="1121"/>
        <w:gridCol w:w="1544"/>
      </w:tblGrid>
      <w:tr w:rsidR="003E22AA" w:rsidRPr="006F7DBC" w:rsidTr="007D58EA">
        <w:tc>
          <w:tcPr>
            <w:tcW w:w="560" w:type="dxa"/>
          </w:tcPr>
          <w:p w:rsidR="003E22AA" w:rsidRPr="006F7DBC" w:rsidRDefault="003E22AA" w:rsidP="007D58EA">
            <w:pPr>
              <w:pStyle w:val="BodyTextIndent"/>
              <w:shd w:val="clear" w:color="auto" w:fill="FFFFFF"/>
              <w:ind w:firstLine="0"/>
              <w:jc w:val="center"/>
            </w:pPr>
            <w:r w:rsidRPr="006F7DBC">
              <w:rPr>
                <w:sz w:val="22"/>
              </w:rPr>
              <w:t>№</w:t>
            </w:r>
          </w:p>
          <w:p w:rsidR="003E22AA" w:rsidRPr="006F7DBC" w:rsidRDefault="003E22AA" w:rsidP="007D58EA">
            <w:pPr>
              <w:pStyle w:val="BodyTextIndent"/>
              <w:shd w:val="clear" w:color="auto" w:fill="FFFFFF"/>
              <w:ind w:firstLine="0"/>
              <w:jc w:val="center"/>
            </w:pPr>
            <w:r w:rsidRPr="006F7DBC">
              <w:rPr>
                <w:sz w:val="22"/>
              </w:rPr>
              <w:t>п/п</w:t>
            </w:r>
          </w:p>
        </w:tc>
        <w:tc>
          <w:tcPr>
            <w:tcW w:w="3913" w:type="dxa"/>
          </w:tcPr>
          <w:p w:rsidR="003E22AA" w:rsidRPr="006F7DBC" w:rsidRDefault="003E22AA" w:rsidP="007D58EA">
            <w:pPr>
              <w:pStyle w:val="BodyTextIndent"/>
              <w:shd w:val="clear" w:color="auto" w:fill="FFFFFF"/>
              <w:ind w:firstLine="0"/>
              <w:jc w:val="center"/>
            </w:pPr>
            <w:r w:rsidRPr="006F7DBC">
              <w:rPr>
                <w:sz w:val="22"/>
              </w:rPr>
              <w:t>Наименование программы</w:t>
            </w:r>
          </w:p>
        </w:tc>
        <w:tc>
          <w:tcPr>
            <w:tcW w:w="1413" w:type="dxa"/>
          </w:tcPr>
          <w:p w:rsidR="003E22AA" w:rsidRPr="006F7DBC" w:rsidRDefault="003E22AA" w:rsidP="007D58EA">
            <w:pPr>
              <w:pStyle w:val="BodyTextIndent"/>
              <w:shd w:val="clear" w:color="auto" w:fill="FFFFFF"/>
              <w:ind w:firstLine="0"/>
              <w:jc w:val="center"/>
              <w:rPr>
                <w:sz w:val="18"/>
              </w:rPr>
            </w:pPr>
            <w:r w:rsidRPr="006F7DBC">
              <w:rPr>
                <w:sz w:val="18"/>
              </w:rPr>
              <w:t>Уточненный план на 2018 год, тыс. руб.</w:t>
            </w:r>
          </w:p>
        </w:tc>
        <w:tc>
          <w:tcPr>
            <w:tcW w:w="1356" w:type="dxa"/>
          </w:tcPr>
          <w:p w:rsidR="003E22AA" w:rsidRPr="006F7DBC" w:rsidRDefault="003E22AA" w:rsidP="007D58EA">
            <w:pPr>
              <w:pStyle w:val="BodyTextIndent"/>
              <w:shd w:val="clear" w:color="auto" w:fill="FFFFFF"/>
              <w:ind w:firstLine="0"/>
              <w:jc w:val="center"/>
              <w:rPr>
                <w:sz w:val="18"/>
              </w:rPr>
            </w:pPr>
            <w:r w:rsidRPr="006F7DBC">
              <w:rPr>
                <w:sz w:val="18"/>
              </w:rPr>
              <w:t>Исполнение за 2018 год, тыс.руб.</w:t>
            </w:r>
          </w:p>
        </w:tc>
        <w:tc>
          <w:tcPr>
            <w:tcW w:w="1121" w:type="dxa"/>
          </w:tcPr>
          <w:p w:rsidR="003E22AA" w:rsidRPr="006F7DBC" w:rsidRDefault="003E22AA" w:rsidP="007D58EA">
            <w:pPr>
              <w:pStyle w:val="BodyTextIndent"/>
              <w:shd w:val="clear" w:color="auto" w:fill="FFFFFF"/>
              <w:ind w:firstLine="0"/>
              <w:jc w:val="center"/>
              <w:rPr>
                <w:sz w:val="18"/>
              </w:rPr>
            </w:pPr>
            <w:r w:rsidRPr="006F7DBC">
              <w:rPr>
                <w:sz w:val="18"/>
              </w:rPr>
              <w:t>% исполнения за год</w:t>
            </w:r>
          </w:p>
        </w:tc>
        <w:tc>
          <w:tcPr>
            <w:tcW w:w="1544" w:type="dxa"/>
          </w:tcPr>
          <w:p w:rsidR="003E22AA" w:rsidRPr="006F7DBC" w:rsidRDefault="003E22AA" w:rsidP="007D58EA">
            <w:pPr>
              <w:pStyle w:val="BodyTextIndent"/>
              <w:shd w:val="clear" w:color="auto" w:fill="FFFFFF"/>
              <w:ind w:firstLine="0"/>
              <w:jc w:val="center"/>
              <w:rPr>
                <w:sz w:val="18"/>
              </w:rPr>
            </w:pPr>
            <w:r w:rsidRPr="006F7DBC">
              <w:rPr>
                <w:sz w:val="18"/>
              </w:rPr>
              <w:t>Доля финансирования программ в общем объеме финансирования, %</w:t>
            </w:r>
          </w:p>
        </w:tc>
      </w:tr>
      <w:tr w:rsidR="003E22AA" w:rsidRPr="006F7DBC" w:rsidTr="007D58EA">
        <w:tc>
          <w:tcPr>
            <w:tcW w:w="560" w:type="dxa"/>
          </w:tcPr>
          <w:p w:rsidR="003E22AA" w:rsidRPr="006F7DBC" w:rsidRDefault="003E22AA" w:rsidP="007D58EA">
            <w:pPr>
              <w:pStyle w:val="BodyTextIndent"/>
              <w:shd w:val="clear" w:color="auto" w:fill="FFFFFF"/>
              <w:ind w:firstLine="0"/>
            </w:pPr>
            <w:r>
              <w:t>1</w:t>
            </w:r>
          </w:p>
        </w:tc>
        <w:tc>
          <w:tcPr>
            <w:tcW w:w="3913" w:type="dxa"/>
          </w:tcPr>
          <w:p w:rsidR="003E22AA" w:rsidRPr="008861B6" w:rsidRDefault="003E22AA" w:rsidP="008861B6">
            <w:pPr>
              <w:shd w:val="clear" w:color="auto" w:fill="FFFFFF"/>
              <w:rPr>
                <w:szCs w:val="24"/>
              </w:rPr>
            </w:pPr>
            <w:r w:rsidRPr="008861B6">
              <w:rPr>
                <w:szCs w:val="24"/>
              </w:rPr>
              <w:t>Муниципальная программа</w:t>
            </w:r>
          </w:p>
          <w:p w:rsidR="003E22AA" w:rsidRPr="008861B6" w:rsidRDefault="003E22AA" w:rsidP="008861B6">
            <w:pPr>
              <w:shd w:val="clear" w:color="auto" w:fill="FFFFFF"/>
              <w:rPr>
                <w:szCs w:val="24"/>
              </w:rPr>
            </w:pPr>
            <w:r>
              <w:rPr>
                <w:szCs w:val="24"/>
              </w:rPr>
              <w:t>«</w:t>
            </w:r>
            <w:r w:rsidRPr="008861B6">
              <w:rPr>
                <w:szCs w:val="24"/>
              </w:rPr>
              <w:t>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2018-2022 годы»</w:t>
            </w:r>
          </w:p>
        </w:tc>
        <w:tc>
          <w:tcPr>
            <w:tcW w:w="1413" w:type="dxa"/>
          </w:tcPr>
          <w:p w:rsidR="003E22AA" w:rsidRPr="008861B6" w:rsidRDefault="003E22AA" w:rsidP="007D58EA">
            <w:pPr>
              <w:pStyle w:val="BodyTextIndent"/>
              <w:shd w:val="clear" w:color="auto" w:fill="FFFFFF"/>
              <w:ind w:firstLine="0"/>
              <w:jc w:val="center"/>
              <w:rPr>
                <w:szCs w:val="24"/>
              </w:rPr>
            </w:pPr>
            <w:r>
              <w:rPr>
                <w:szCs w:val="24"/>
              </w:rPr>
              <w:t>2180,83</w:t>
            </w:r>
          </w:p>
        </w:tc>
        <w:tc>
          <w:tcPr>
            <w:tcW w:w="1356" w:type="dxa"/>
          </w:tcPr>
          <w:p w:rsidR="003E22AA" w:rsidRPr="008861B6" w:rsidRDefault="003E22AA" w:rsidP="007D58EA">
            <w:pPr>
              <w:pStyle w:val="BodyTextIndent"/>
              <w:shd w:val="clear" w:color="auto" w:fill="FFFFFF"/>
              <w:ind w:firstLine="0"/>
              <w:jc w:val="center"/>
              <w:rPr>
                <w:szCs w:val="24"/>
              </w:rPr>
            </w:pPr>
            <w:r>
              <w:rPr>
                <w:szCs w:val="24"/>
              </w:rPr>
              <w:t>1758,124</w:t>
            </w:r>
          </w:p>
        </w:tc>
        <w:tc>
          <w:tcPr>
            <w:tcW w:w="1121" w:type="dxa"/>
          </w:tcPr>
          <w:p w:rsidR="003E22AA" w:rsidRPr="008861B6" w:rsidRDefault="003E22AA" w:rsidP="007D58EA">
            <w:pPr>
              <w:pStyle w:val="BodyTextIndent"/>
              <w:shd w:val="clear" w:color="auto" w:fill="FFFFFF"/>
              <w:ind w:firstLine="0"/>
              <w:jc w:val="center"/>
              <w:rPr>
                <w:szCs w:val="24"/>
              </w:rPr>
            </w:pPr>
            <w:r>
              <w:rPr>
                <w:szCs w:val="24"/>
              </w:rPr>
              <w:t>80,6%</w:t>
            </w:r>
          </w:p>
        </w:tc>
        <w:tc>
          <w:tcPr>
            <w:tcW w:w="1544" w:type="dxa"/>
          </w:tcPr>
          <w:p w:rsidR="003E22AA" w:rsidRPr="008861B6" w:rsidRDefault="003E22AA" w:rsidP="007D58EA">
            <w:pPr>
              <w:pStyle w:val="BodyTextIndent"/>
              <w:shd w:val="clear" w:color="auto" w:fill="FFFFFF"/>
              <w:ind w:firstLine="0"/>
              <w:jc w:val="center"/>
              <w:rPr>
                <w:szCs w:val="24"/>
              </w:rPr>
            </w:pPr>
            <w:r>
              <w:rPr>
                <w:szCs w:val="24"/>
              </w:rPr>
              <w:t>9,2</w:t>
            </w:r>
          </w:p>
        </w:tc>
      </w:tr>
      <w:tr w:rsidR="003E22AA" w:rsidRPr="006F7DBC" w:rsidTr="007D58EA">
        <w:tc>
          <w:tcPr>
            <w:tcW w:w="560" w:type="dxa"/>
          </w:tcPr>
          <w:p w:rsidR="003E22AA" w:rsidRPr="006F7DBC" w:rsidRDefault="003E22AA" w:rsidP="007D58EA">
            <w:pPr>
              <w:pStyle w:val="BodyTextIndent"/>
              <w:shd w:val="clear" w:color="auto" w:fill="FFFFFF"/>
              <w:ind w:firstLine="0"/>
            </w:pPr>
            <w:r>
              <w:t>2</w:t>
            </w:r>
          </w:p>
        </w:tc>
        <w:tc>
          <w:tcPr>
            <w:tcW w:w="3913" w:type="dxa"/>
          </w:tcPr>
          <w:p w:rsidR="003E22AA" w:rsidRPr="0043619E" w:rsidRDefault="003E22AA" w:rsidP="007D58EA">
            <w:pPr>
              <w:shd w:val="clear" w:color="auto" w:fill="FFFFFF"/>
              <w:rPr>
                <w:szCs w:val="24"/>
              </w:rPr>
            </w:pPr>
            <w:r>
              <w:rPr>
                <w:szCs w:val="24"/>
              </w:rPr>
              <w:t xml:space="preserve">Муниципальная программа </w:t>
            </w:r>
            <w:r w:rsidRPr="008861B6">
              <w:rPr>
                <w:szCs w:val="24"/>
              </w:rPr>
              <w:t xml:space="preserve"> </w:t>
            </w:r>
            <w:r w:rsidRPr="0043619E">
              <w:rPr>
                <w:szCs w:val="24"/>
              </w:rPr>
              <w:t>«Газификация населенных пунктов   сельского поселения Субханкуловский сельсовет муниципального района Туймазинский район РБ на 2018-2023 годы»</w:t>
            </w:r>
          </w:p>
        </w:tc>
        <w:tc>
          <w:tcPr>
            <w:tcW w:w="1413" w:type="dxa"/>
          </w:tcPr>
          <w:p w:rsidR="003E22AA" w:rsidRPr="008861B6" w:rsidRDefault="003E22AA" w:rsidP="007D58EA">
            <w:pPr>
              <w:pStyle w:val="BodyTextIndent"/>
              <w:shd w:val="clear" w:color="auto" w:fill="FFFFFF"/>
              <w:ind w:firstLine="0"/>
              <w:jc w:val="center"/>
              <w:rPr>
                <w:szCs w:val="24"/>
              </w:rPr>
            </w:pPr>
            <w:r>
              <w:rPr>
                <w:szCs w:val="24"/>
              </w:rPr>
              <w:t>0,0</w:t>
            </w:r>
          </w:p>
        </w:tc>
        <w:tc>
          <w:tcPr>
            <w:tcW w:w="1356" w:type="dxa"/>
          </w:tcPr>
          <w:p w:rsidR="003E22AA" w:rsidRPr="008861B6" w:rsidRDefault="003E22AA" w:rsidP="007D58EA">
            <w:pPr>
              <w:pStyle w:val="BodyTextIndent"/>
              <w:shd w:val="clear" w:color="auto" w:fill="FFFFFF"/>
              <w:ind w:firstLine="0"/>
              <w:jc w:val="center"/>
              <w:rPr>
                <w:szCs w:val="24"/>
              </w:rPr>
            </w:pPr>
            <w:r>
              <w:rPr>
                <w:szCs w:val="24"/>
              </w:rPr>
              <w:t>0,0</w:t>
            </w:r>
          </w:p>
        </w:tc>
        <w:tc>
          <w:tcPr>
            <w:tcW w:w="1121" w:type="dxa"/>
          </w:tcPr>
          <w:p w:rsidR="003E22AA" w:rsidRPr="008861B6" w:rsidRDefault="003E22AA" w:rsidP="007D58EA">
            <w:pPr>
              <w:pStyle w:val="BodyTextIndent"/>
              <w:shd w:val="clear" w:color="auto" w:fill="FFFFFF"/>
              <w:ind w:firstLine="0"/>
              <w:jc w:val="center"/>
              <w:rPr>
                <w:szCs w:val="24"/>
              </w:rPr>
            </w:pPr>
            <w:r>
              <w:rPr>
                <w:szCs w:val="24"/>
              </w:rPr>
              <w:t>0</w:t>
            </w:r>
          </w:p>
        </w:tc>
        <w:tc>
          <w:tcPr>
            <w:tcW w:w="1544" w:type="dxa"/>
          </w:tcPr>
          <w:p w:rsidR="003E22AA" w:rsidRPr="008861B6" w:rsidRDefault="003E22AA" w:rsidP="007D58EA">
            <w:pPr>
              <w:pStyle w:val="BodyTextIndent"/>
              <w:shd w:val="clear" w:color="auto" w:fill="FFFFFF"/>
              <w:ind w:firstLine="0"/>
              <w:jc w:val="center"/>
              <w:rPr>
                <w:szCs w:val="24"/>
              </w:rPr>
            </w:pPr>
            <w:r>
              <w:rPr>
                <w:szCs w:val="24"/>
              </w:rPr>
              <w:t>0</w:t>
            </w:r>
          </w:p>
        </w:tc>
      </w:tr>
      <w:tr w:rsidR="003E22AA" w:rsidRPr="006F7DBC" w:rsidTr="007D58EA">
        <w:tc>
          <w:tcPr>
            <w:tcW w:w="560" w:type="dxa"/>
          </w:tcPr>
          <w:p w:rsidR="003E22AA" w:rsidRPr="006F7DBC" w:rsidRDefault="003E22AA" w:rsidP="007D58EA">
            <w:pPr>
              <w:pStyle w:val="BodyTextIndent"/>
              <w:shd w:val="clear" w:color="auto" w:fill="FFFFFF"/>
              <w:ind w:firstLine="0"/>
              <w:rPr>
                <w:sz w:val="28"/>
              </w:rPr>
            </w:pPr>
          </w:p>
        </w:tc>
        <w:tc>
          <w:tcPr>
            <w:tcW w:w="3913" w:type="dxa"/>
          </w:tcPr>
          <w:p w:rsidR="003E22AA" w:rsidRPr="008861B6" w:rsidRDefault="003E22AA" w:rsidP="007D58EA">
            <w:pPr>
              <w:pStyle w:val="BodyTextIndent"/>
              <w:shd w:val="clear" w:color="auto" w:fill="FFFFFF"/>
              <w:ind w:firstLine="0"/>
              <w:rPr>
                <w:b/>
                <w:szCs w:val="24"/>
              </w:rPr>
            </w:pPr>
            <w:r w:rsidRPr="008861B6">
              <w:rPr>
                <w:b/>
                <w:szCs w:val="24"/>
              </w:rPr>
              <w:t>Всего по программам:</w:t>
            </w:r>
          </w:p>
        </w:tc>
        <w:tc>
          <w:tcPr>
            <w:tcW w:w="1413" w:type="dxa"/>
          </w:tcPr>
          <w:p w:rsidR="003E22AA" w:rsidRPr="0043619E" w:rsidRDefault="003E22AA" w:rsidP="002E4CED">
            <w:pPr>
              <w:pStyle w:val="BodyTextIndent"/>
              <w:shd w:val="clear" w:color="auto" w:fill="FFFFFF"/>
              <w:ind w:firstLine="0"/>
              <w:jc w:val="center"/>
              <w:rPr>
                <w:b/>
                <w:szCs w:val="24"/>
              </w:rPr>
            </w:pPr>
            <w:r w:rsidRPr="0043619E">
              <w:rPr>
                <w:b/>
                <w:szCs w:val="24"/>
              </w:rPr>
              <w:t>2180,83</w:t>
            </w:r>
          </w:p>
        </w:tc>
        <w:tc>
          <w:tcPr>
            <w:tcW w:w="1356" w:type="dxa"/>
          </w:tcPr>
          <w:p w:rsidR="003E22AA" w:rsidRPr="0043619E" w:rsidRDefault="003E22AA" w:rsidP="002E4CED">
            <w:pPr>
              <w:pStyle w:val="BodyTextIndent"/>
              <w:shd w:val="clear" w:color="auto" w:fill="FFFFFF"/>
              <w:ind w:firstLine="0"/>
              <w:jc w:val="center"/>
              <w:rPr>
                <w:b/>
                <w:szCs w:val="24"/>
              </w:rPr>
            </w:pPr>
            <w:r w:rsidRPr="0043619E">
              <w:rPr>
                <w:b/>
                <w:szCs w:val="24"/>
              </w:rPr>
              <w:t>1758,124</w:t>
            </w:r>
          </w:p>
        </w:tc>
        <w:tc>
          <w:tcPr>
            <w:tcW w:w="1121" w:type="dxa"/>
          </w:tcPr>
          <w:p w:rsidR="003E22AA" w:rsidRPr="0043619E" w:rsidRDefault="003E22AA" w:rsidP="002E4CED">
            <w:pPr>
              <w:pStyle w:val="BodyTextIndent"/>
              <w:shd w:val="clear" w:color="auto" w:fill="FFFFFF"/>
              <w:ind w:firstLine="0"/>
              <w:jc w:val="center"/>
              <w:rPr>
                <w:b/>
                <w:szCs w:val="24"/>
              </w:rPr>
            </w:pPr>
            <w:r w:rsidRPr="0043619E">
              <w:rPr>
                <w:b/>
                <w:szCs w:val="24"/>
              </w:rPr>
              <w:t>80,6%</w:t>
            </w:r>
          </w:p>
        </w:tc>
        <w:tc>
          <w:tcPr>
            <w:tcW w:w="1544" w:type="dxa"/>
          </w:tcPr>
          <w:p w:rsidR="003E22AA" w:rsidRPr="0043619E" w:rsidRDefault="003E22AA" w:rsidP="002E4CED">
            <w:pPr>
              <w:pStyle w:val="BodyTextIndent"/>
              <w:shd w:val="clear" w:color="auto" w:fill="FFFFFF"/>
              <w:ind w:firstLine="0"/>
              <w:jc w:val="center"/>
              <w:rPr>
                <w:b/>
                <w:szCs w:val="24"/>
              </w:rPr>
            </w:pPr>
            <w:r w:rsidRPr="0043619E">
              <w:rPr>
                <w:b/>
                <w:szCs w:val="24"/>
              </w:rPr>
              <w:t>9,2</w:t>
            </w:r>
          </w:p>
        </w:tc>
      </w:tr>
    </w:tbl>
    <w:p w:rsidR="003E22AA" w:rsidRPr="006F7DBC" w:rsidRDefault="003E22AA" w:rsidP="005D385C">
      <w:pPr>
        <w:shd w:val="clear" w:color="auto" w:fill="FFFFFF"/>
        <w:ind w:firstLine="567"/>
        <w:jc w:val="both"/>
        <w:rPr>
          <w:sz w:val="28"/>
        </w:rPr>
      </w:pPr>
      <w:r w:rsidRPr="006F7DBC">
        <w:rPr>
          <w:sz w:val="28"/>
          <w:u w:val="single"/>
        </w:rPr>
        <w:t>Сумма неосвоенных денежных средств</w:t>
      </w:r>
      <w:r w:rsidRPr="006F7DBC">
        <w:rPr>
          <w:sz w:val="28"/>
        </w:rPr>
        <w:t xml:space="preserve"> в 2018 году составила </w:t>
      </w:r>
      <w:r>
        <w:rPr>
          <w:sz w:val="28"/>
        </w:rPr>
        <w:t>335,848</w:t>
      </w:r>
      <w:r w:rsidRPr="006F7DBC">
        <w:rPr>
          <w:sz w:val="28"/>
        </w:rPr>
        <w:t xml:space="preserve"> тыс. руб. (</w:t>
      </w:r>
      <w:r>
        <w:rPr>
          <w:sz w:val="28"/>
        </w:rPr>
        <w:t>15,4</w:t>
      </w:r>
      <w:r w:rsidRPr="006F7DBC">
        <w:rPr>
          <w:sz w:val="28"/>
        </w:rPr>
        <w:t>%</w:t>
      </w:r>
      <w:r>
        <w:rPr>
          <w:sz w:val="28"/>
        </w:rPr>
        <w:t xml:space="preserve"> от ассигнований на 2018 год</w:t>
      </w:r>
      <w:r w:rsidRPr="006F7DBC">
        <w:rPr>
          <w:sz w:val="28"/>
        </w:rPr>
        <w:t>), из них:</w:t>
      </w:r>
    </w:p>
    <w:p w:rsidR="003E22AA" w:rsidRPr="006F7DBC" w:rsidRDefault="003E22AA" w:rsidP="005D385C">
      <w:pPr>
        <w:shd w:val="clear" w:color="auto" w:fill="FFFFFF"/>
        <w:jc w:val="both"/>
        <w:rPr>
          <w:sz w:val="28"/>
        </w:rPr>
      </w:pPr>
    </w:p>
    <w:p w:rsidR="003E22AA" w:rsidRPr="006F7DBC" w:rsidRDefault="003E22AA" w:rsidP="005D385C">
      <w:pPr>
        <w:shd w:val="clear" w:color="auto" w:fill="FFFFFF"/>
        <w:ind w:firstLine="709"/>
        <w:jc w:val="both"/>
        <w:rPr>
          <w:sz w:val="28"/>
        </w:rPr>
      </w:pPr>
      <w:r w:rsidRPr="006F7DBC">
        <w:rPr>
          <w:sz w:val="28"/>
        </w:rPr>
        <w:t xml:space="preserve"> - </w:t>
      </w:r>
      <w:r>
        <w:rPr>
          <w:sz w:val="28"/>
        </w:rPr>
        <w:t>335,848</w:t>
      </w:r>
      <w:r w:rsidRPr="006F7DBC">
        <w:rPr>
          <w:sz w:val="28"/>
        </w:rPr>
        <w:t xml:space="preserve"> тыс. руб. (</w:t>
      </w:r>
      <w:r>
        <w:rPr>
          <w:sz w:val="28"/>
        </w:rPr>
        <w:t>15,4</w:t>
      </w:r>
      <w:r w:rsidRPr="006F7DBC">
        <w:rPr>
          <w:sz w:val="28"/>
        </w:rPr>
        <w:t xml:space="preserve">% от общей суммы неосвоенных средств) по          </w:t>
      </w:r>
      <w:r w:rsidRPr="00525A13">
        <w:rPr>
          <w:sz w:val="28"/>
        </w:rPr>
        <w:t>муниципальной программе</w:t>
      </w:r>
      <w:r>
        <w:rPr>
          <w:sz w:val="28"/>
          <w:u w:val="single"/>
        </w:rPr>
        <w:t xml:space="preserve"> </w:t>
      </w:r>
      <w:r w:rsidRPr="00525A13">
        <w:rPr>
          <w:sz w:val="28"/>
          <w:szCs w:val="28"/>
        </w:rPr>
        <w:t>«Формирование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2018-2022 годы»</w:t>
      </w:r>
      <w:r w:rsidRPr="00525A13">
        <w:rPr>
          <w:sz w:val="28"/>
          <w:szCs w:val="28"/>
          <w:u w:val="single"/>
        </w:rPr>
        <w:t>»</w:t>
      </w:r>
      <w:r w:rsidRPr="00525A13">
        <w:rPr>
          <w:sz w:val="28"/>
          <w:szCs w:val="28"/>
        </w:rPr>
        <w:t>,</w:t>
      </w:r>
      <w:r w:rsidRPr="006F7DBC">
        <w:rPr>
          <w:sz w:val="28"/>
        </w:rPr>
        <w:t xml:space="preserve"> из них:</w:t>
      </w:r>
    </w:p>
    <w:p w:rsidR="003E22AA" w:rsidRDefault="003E22AA" w:rsidP="005D385C">
      <w:pPr>
        <w:shd w:val="clear" w:color="auto" w:fill="FFFFFF"/>
        <w:ind w:firstLine="709"/>
        <w:jc w:val="both"/>
        <w:rPr>
          <w:sz w:val="28"/>
        </w:rPr>
      </w:pPr>
      <w:r>
        <w:rPr>
          <w:sz w:val="28"/>
        </w:rPr>
        <w:t xml:space="preserve">- </w:t>
      </w:r>
      <w:r w:rsidRPr="006F7DBC">
        <w:rPr>
          <w:sz w:val="28"/>
          <w:szCs w:val="28"/>
        </w:rPr>
        <w:t xml:space="preserve">в связи </w:t>
      </w:r>
      <w:r w:rsidRPr="006F7DBC">
        <w:rPr>
          <w:sz w:val="28"/>
        </w:rPr>
        <w:t>с экономией по оплате фактически выполненны</w:t>
      </w:r>
      <w:r>
        <w:rPr>
          <w:sz w:val="28"/>
        </w:rPr>
        <w:t>м ремонтным</w:t>
      </w:r>
      <w:r w:rsidRPr="006F7DBC">
        <w:rPr>
          <w:sz w:val="28"/>
        </w:rPr>
        <w:t xml:space="preserve"> работ</w:t>
      </w:r>
      <w:r>
        <w:rPr>
          <w:sz w:val="28"/>
        </w:rPr>
        <w:t>ам по муниципальному контракту с ООО «Регион 02»;</w:t>
      </w:r>
    </w:p>
    <w:p w:rsidR="003E22AA" w:rsidRDefault="003E22AA" w:rsidP="005D385C">
      <w:pPr>
        <w:shd w:val="clear" w:color="auto" w:fill="FFFFFF"/>
        <w:ind w:firstLine="709"/>
        <w:jc w:val="both"/>
        <w:rPr>
          <w:sz w:val="28"/>
        </w:rPr>
      </w:pPr>
      <w:r>
        <w:rPr>
          <w:sz w:val="28"/>
        </w:rPr>
        <w:t xml:space="preserve">- в связи с </w:t>
      </w:r>
      <w:r w:rsidRPr="006F7DBC">
        <w:rPr>
          <w:sz w:val="28"/>
        </w:rPr>
        <w:t>экономией в результате конкурсных процедур</w:t>
      </w:r>
      <w:r>
        <w:rPr>
          <w:sz w:val="28"/>
        </w:rPr>
        <w:t>.</w:t>
      </w:r>
    </w:p>
    <w:p w:rsidR="003E22AA" w:rsidRDefault="003E22AA" w:rsidP="005D385C">
      <w:pPr>
        <w:shd w:val="clear" w:color="auto" w:fill="FFFFFF"/>
        <w:ind w:firstLine="709"/>
        <w:jc w:val="both"/>
        <w:rPr>
          <w:sz w:val="28"/>
        </w:rPr>
      </w:pPr>
    </w:p>
    <w:p w:rsidR="003E22AA" w:rsidRDefault="003E22AA" w:rsidP="005D385C">
      <w:pPr>
        <w:shd w:val="clear" w:color="auto" w:fill="FFFFFF"/>
        <w:ind w:firstLine="709"/>
        <w:jc w:val="both"/>
        <w:rPr>
          <w:sz w:val="28"/>
        </w:rPr>
      </w:pPr>
      <w:r>
        <w:rPr>
          <w:sz w:val="28"/>
        </w:rPr>
        <w:t>По муниципальной программе «Газификация населенных пунктов   сельского поселения Субханкуловский сельсовет муниципального района Туймазинский район РБ на 2018-2023 годы» финансовые средства в бюджете сельского поселения Субханкуловский сельсовет муниципального района Туймазинский район РБ на 2018 год не были предусмотрены.</w:t>
      </w:r>
    </w:p>
    <w:p w:rsidR="003E22AA" w:rsidRDefault="003E22AA" w:rsidP="005D385C">
      <w:pPr>
        <w:shd w:val="clear" w:color="auto" w:fill="FFFFFF"/>
        <w:ind w:firstLine="709"/>
        <w:jc w:val="both"/>
        <w:rPr>
          <w:sz w:val="28"/>
        </w:rPr>
      </w:pPr>
      <w:r>
        <w:rPr>
          <w:sz w:val="28"/>
        </w:rPr>
        <w:t>В 2018 году были заказаны и получены технические условия для проектирования газораспределительных систем по ул.Речная , Лесная. Дружбы, Сосновая в д.Каин-Елга; ул.Сельская, ул.Рассветная д.Нуркеево.</w:t>
      </w:r>
    </w:p>
    <w:p w:rsidR="003E22AA" w:rsidRPr="006F7DBC" w:rsidRDefault="003E22AA" w:rsidP="005D385C">
      <w:pPr>
        <w:shd w:val="clear" w:color="auto" w:fill="FFFFFF"/>
        <w:ind w:firstLine="709"/>
        <w:jc w:val="both"/>
        <w:rPr>
          <w:sz w:val="28"/>
        </w:rPr>
      </w:pPr>
    </w:p>
    <w:p w:rsidR="003E22AA" w:rsidRPr="006F7DBC" w:rsidRDefault="003E22AA" w:rsidP="005D385C">
      <w:pPr>
        <w:shd w:val="clear" w:color="auto" w:fill="FFFFFF"/>
        <w:ind w:firstLine="709"/>
        <w:jc w:val="both"/>
        <w:rPr>
          <w:sz w:val="28"/>
        </w:rPr>
      </w:pPr>
      <w:r w:rsidRPr="006F7DBC">
        <w:rPr>
          <w:sz w:val="28"/>
        </w:rPr>
        <w:t xml:space="preserve">Мероприятия и сами программы в целом соответствуют приоритетам социально-экономического развития </w:t>
      </w:r>
      <w:r>
        <w:rPr>
          <w:sz w:val="28"/>
        </w:rPr>
        <w:t>сельского поселения Субханкуловский сельсовет муниципального района Туймазинский район РБ</w:t>
      </w:r>
      <w:r w:rsidRPr="006F7DBC">
        <w:rPr>
          <w:sz w:val="28"/>
        </w:rPr>
        <w:t xml:space="preserve">, определённым Стратегией социально-экономического развития </w:t>
      </w:r>
      <w:r>
        <w:rPr>
          <w:sz w:val="28"/>
        </w:rPr>
        <w:t>сельского поселения</w:t>
      </w:r>
      <w:r w:rsidRPr="006F7DBC">
        <w:rPr>
          <w:sz w:val="28"/>
        </w:rPr>
        <w:t xml:space="preserve">. </w:t>
      </w:r>
    </w:p>
    <w:p w:rsidR="003E22AA" w:rsidRPr="006F7DBC" w:rsidRDefault="003E22AA" w:rsidP="005D385C">
      <w:pPr>
        <w:shd w:val="clear" w:color="auto" w:fill="FFFFFF"/>
        <w:ind w:firstLine="709"/>
        <w:jc w:val="both"/>
        <w:rPr>
          <w:b/>
          <w:i/>
          <w:sz w:val="28"/>
        </w:rPr>
      </w:pPr>
      <w:r w:rsidRPr="006F7DBC">
        <w:rPr>
          <w:sz w:val="28"/>
        </w:rPr>
        <w:t xml:space="preserve">Исходя из приоритетов, целей развития муниципального образования,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2018 году. </w:t>
      </w:r>
      <w:r w:rsidRPr="006F7DBC">
        <w:rPr>
          <w:b/>
          <w:i/>
          <w:sz w:val="28"/>
        </w:rPr>
        <w:t xml:space="preserve"> </w:t>
      </w:r>
    </w:p>
    <w:p w:rsidR="003E22AA" w:rsidRPr="00B97000" w:rsidRDefault="003E22AA" w:rsidP="005D385C">
      <w:pPr>
        <w:shd w:val="clear" w:color="auto" w:fill="FFFFFF"/>
        <w:ind w:firstLine="709"/>
        <w:jc w:val="both"/>
        <w:rPr>
          <w:b/>
          <w:sz w:val="28"/>
        </w:rPr>
      </w:pPr>
      <w:r>
        <w:rPr>
          <w:b/>
          <w:sz w:val="28"/>
        </w:rPr>
        <w:t>По результатам проведенной оценки из</w:t>
      </w:r>
      <w:r w:rsidRPr="00B97000">
        <w:rPr>
          <w:b/>
          <w:sz w:val="28"/>
        </w:rPr>
        <w:t xml:space="preserve"> </w:t>
      </w:r>
      <w:r>
        <w:rPr>
          <w:b/>
          <w:sz w:val="28"/>
        </w:rPr>
        <w:t>2</w:t>
      </w:r>
      <w:r w:rsidRPr="00B97000">
        <w:rPr>
          <w:b/>
          <w:sz w:val="28"/>
        </w:rPr>
        <w:t xml:space="preserve"> муниципальн</w:t>
      </w:r>
      <w:r>
        <w:rPr>
          <w:b/>
          <w:sz w:val="28"/>
        </w:rPr>
        <w:t>ых программ: 2</w:t>
      </w:r>
      <w:r w:rsidRPr="00B97000">
        <w:rPr>
          <w:b/>
          <w:sz w:val="28"/>
        </w:rPr>
        <w:t xml:space="preserve"> программ</w:t>
      </w:r>
      <w:r>
        <w:rPr>
          <w:b/>
          <w:sz w:val="28"/>
        </w:rPr>
        <w:t>ы</w:t>
      </w:r>
      <w:r w:rsidRPr="00B97000">
        <w:rPr>
          <w:b/>
          <w:sz w:val="28"/>
        </w:rPr>
        <w:t xml:space="preserve"> име</w:t>
      </w:r>
      <w:r>
        <w:rPr>
          <w:b/>
          <w:sz w:val="28"/>
        </w:rPr>
        <w:t>ют</w:t>
      </w:r>
      <w:r w:rsidRPr="00B97000">
        <w:rPr>
          <w:b/>
          <w:sz w:val="28"/>
        </w:rPr>
        <w:t xml:space="preserve"> </w:t>
      </w:r>
      <w:r w:rsidRPr="00B97000">
        <w:rPr>
          <w:b/>
          <w:sz w:val="28"/>
          <w:u w:val="single"/>
        </w:rPr>
        <w:t>удовлетворительный</w:t>
      </w:r>
      <w:r w:rsidRPr="00B97000">
        <w:rPr>
          <w:b/>
          <w:sz w:val="28"/>
        </w:rPr>
        <w:t xml:space="preserve"> рейтинг эффективности</w:t>
      </w:r>
      <w:r>
        <w:rPr>
          <w:b/>
          <w:sz w:val="28"/>
        </w:rPr>
        <w:t>.</w:t>
      </w:r>
    </w:p>
    <w:p w:rsidR="003E22AA" w:rsidRPr="00B97000" w:rsidRDefault="003E22AA" w:rsidP="005D385C">
      <w:pPr>
        <w:shd w:val="clear" w:color="auto" w:fill="FFFFFF"/>
        <w:ind w:firstLine="1080"/>
        <w:jc w:val="both"/>
        <w:rPr>
          <w:b/>
          <w:i/>
          <w:sz w:val="28"/>
        </w:rPr>
      </w:pPr>
    </w:p>
    <w:p w:rsidR="003E22AA" w:rsidRDefault="003E22AA"/>
    <w:p w:rsidR="003E22AA" w:rsidRDefault="003E22AA"/>
    <w:p w:rsidR="003E22AA" w:rsidRDefault="003E22AA"/>
    <w:p w:rsidR="003E22AA" w:rsidRDefault="003E22AA"/>
    <w:p w:rsidR="003E22AA" w:rsidRDefault="003E22AA" w:rsidP="00243541">
      <w:pPr>
        <w:pStyle w:val="NoSpacing"/>
        <w:shd w:val="clear" w:color="auto" w:fill="FFFFFF"/>
        <w:jc w:val="center"/>
        <w:rPr>
          <w:rFonts w:ascii="Times New Roman" w:hAnsi="Times New Roman"/>
          <w:b/>
          <w:i/>
          <w:color w:val="CC0000"/>
          <w:sz w:val="28"/>
        </w:rPr>
      </w:pPr>
      <w:r w:rsidRPr="006F7DBC">
        <w:rPr>
          <w:rFonts w:ascii="Times New Roman" w:hAnsi="Times New Roman"/>
          <w:b/>
          <w:i/>
          <w:color w:val="CC0000"/>
          <w:sz w:val="28"/>
        </w:rPr>
        <w:t>Муниципальная программа</w:t>
      </w:r>
    </w:p>
    <w:p w:rsidR="003E22AA" w:rsidRPr="00243541" w:rsidRDefault="003E22AA" w:rsidP="00243541">
      <w:pPr>
        <w:pStyle w:val="NoSpacing"/>
        <w:shd w:val="clear" w:color="auto" w:fill="FFFFFF"/>
        <w:jc w:val="center"/>
        <w:rPr>
          <w:rFonts w:ascii="Times New Roman" w:hAnsi="Times New Roman"/>
          <w:b/>
          <w:i/>
          <w:color w:val="CC0000"/>
          <w:sz w:val="28"/>
        </w:rPr>
      </w:pPr>
      <w:r w:rsidRPr="00243541">
        <w:rPr>
          <w:rFonts w:ascii="Times New Roman" w:hAnsi="Times New Roman"/>
          <w:sz w:val="28"/>
        </w:rPr>
        <w:t>« Формирование современной городской среды сельского поселения Субханкуловский сельсовет муниципального района Туймазинский район РБ на 2018-2022 годы»</w:t>
      </w:r>
    </w:p>
    <w:p w:rsidR="003E22AA" w:rsidRPr="00243541" w:rsidRDefault="003E22AA" w:rsidP="005D385C">
      <w:pPr>
        <w:pStyle w:val="NoSpacing"/>
        <w:shd w:val="clear" w:color="auto" w:fill="FFFFFF"/>
        <w:ind w:firstLine="709"/>
        <w:jc w:val="both"/>
        <w:rPr>
          <w:rFonts w:ascii="Times New Roman" w:hAnsi="Times New Roman"/>
          <w:sz w:val="28"/>
        </w:rPr>
      </w:pPr>
      <w:r w:rsidRPr="00243541">
        <w:rPr>
          <w:rFonts w:ascii="Times New Roman" w:hAnsi="Times New Roman"/>
          <w:sz w:val="28"/>
        </w:rPr>
        <w:t>Целью программы является формирование единых подх</w:t>
      </w:r>
      <w:r>
        <w:rPr>
          <w:rFonts w:ascii="Times New Roman" w:hAnsi="Times New Roman"/>
          <w:sz w:val="28"/>
        </w:rPr>
        <w:t xml:space="preserve">одов к благоустройству </w:t>
      </w:r>
      <w:r w:rsidRPr="00243541">
        <w:rPr>
          <w:rFonts w:ascii="Times New Roman" w:hAnsi="Times New Roman"/>
          <w:sz w:val="28"/>
        </w:rPr>
        <w:t xml:space="preserve"> территории</w:t>
      </w:r>
      <w:r>
        <w:rPr>
          <w:rFonts w:ascii="Times New Roman" w:hAnsi="Times New Roman"/>
          <w:sz w:val="28"/>
        </w:rPr>
        <w:t xml:space="preserve"> сельского поселения </w:t>
      </w:r>
      <w:r w:rsidRPr="00243541">
        <w:rPr>
          <w:rFonts w:ascii="Times New Roman" w:hAnsi="Times New Roman"/>
          <w:sz w:val="28"/>
        </w:rPr>
        <w:t xml:space="preserve">,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w:t>
      </w:r>
      <w:r>
        <w:rPr>
          <w:rFonts w:ascii="Times New Roman" w:hAnsi="Times New Roman"/>
          <w:sz w:val="28"/>
        </w:rPr>
        <w:t>сельского поселения</w:t>
      </w:r>
      <w:r w:rsidRPr="00243541">
        <w:rPr>
          <w:rFonts w:ascii="Times New Roman" w:hAnsi="Times New Roman"/>
          <w:sz w:val="28"/>
        </w:rPr>
        <w:t>.</w:t>
      </w:r>
    </w:p>
    <w:p w:rsidR="003E22AA" w:rsidRPr="0019493D" w:rsidRDefault="003E22AA" w:rsidP="005D385C">
      <w:pPr>
        <w:pStyle w:val="NoSpacing"/>
        <w:shd w:val="clear" w:color="auto" w:fill="FFFFFF"/>
        <w:ind w:firstLine="709"/>
        <w:jc w:val="both"/>
        <w:rPr>
          <w:rFonts w:ascii="Times New Roman" w:hAnsi="Times New Roman"/>
          <w:b/>
          <w:sz w:val="28"/>
        </w:rPr>
      </w:pPr>
      <w:r w:rsidRPr="0019493D">
        <w:rPr>
          <w:rFonts w:ascii="Times New Roman" w:hAnsi="Times New Roman"/>
          <w:b/>
          <w:sz w:val="28"/>
        </w:rPr>
        <w:t>В</w:t>
      </w:r>
      <w:r>
        <w:rPr>
          <w:rFonts w:ascii="Times New Roman" w:hAnsi="Times New Roman"/>
          <w:b/>
          <w:sz w:val="28"/>
        </w:rPr>
        <w:t xml:space="preserve"> отчетном периоде освоено 1758,124 </w:t>
      </w:r>
      <w:r w:rsidRPr="0019493D">
        <w:rPr>
          <w:rFonts w:ascii="Times New Roman" w:hAnsi="Times New Roman"/>
          <w:b/>
          <w:sz w:val="28"/>
        </w:rPr>
        <w:t xml:space="preserve">тыс. руб. из </w:t>
      </w:r>
      <w:r>
        <w:rPr>
          <w:rFonts w:ascii="Times New Roman" w:hAnsi="Times New Roman"/>
          <w:b/>
          <w:sz w:val="28"/>
        </w:rPr>
        <w:t>2180,83</w:t>
      </w:r>
      <w:r w:rsidRPr="0019493D">
        <w:rPr>
          <w:rFonts w:ascii="Times New Roman" w:hAnsi="Times New Roman"/>
          <w:b/>
          <w:sz w:val="28"/>
        </w:rPr>
        <w:t xml:space="preserve"> тыс. руб. (</w:t>
      </w:r>
      <w:r>
        <w:rPr>
          <w:rFonts w:ascii="Times New Roman" w:hAnsi="Times New Roman"/>
          <w:b/>
          <w:sz w:val="28"/>
        </w:rPr>
        <w:t>80,6</w:t>
      </w:r>
      <w:r w:rsidRPr="0019493D">
        <w:rPr>
          <w:rFonts w:ascii="Times New Roman" w:hAnsi="Times New Roman"/>
          <w:b/>
          <w:sz w:val="28"/>
        </w:rPr>
        <w:t xml:space="preserve">%). </w:t>
      </w:r>
    </w:p>
    <w:p w:rsidR="003E22AA" w:rsidRPr="006F7DBC" w:rsidRDefault="003E22AA" w:rsidP="005D385C">
      <w:pPr>
        <w:pStyle w:val="NoSpacing"/>
        <w:shd w:val="clear" w:color="auto" w:fill="FFFFFF"/>
        <w:ind w:firstLine="709"/>
        <w:jc w:val="both"/>
        <w:rPr>
          <w:rFonts w:ascii="Times New Roman" w:hAnsi="Times New Roman"/>
          <w:sz w:val="28"/>
        </w:rPr>
      </w:pPr>
      <w:r w:rsidRPr="006F7DBC">
        <w:rPr>
          <w:rFonts w:ascii="Times New Roman" w:hAnsi="Times New Roman"/>
          <w:sz w:val="28"/>
        </w:rPr>
        <w:t>В рамках программы проводились следующие мероприятия:</w:t>
      </w:r>
    </w:p>
    <w:p w:rsidR="003E22AA" w:rsidRPr="006F7DBC" w:rsidRDefault="003E22AA" w:rsidP="005D385C">
      <w:pPr>
        <w:pStyle w:val="NoSpacing"/>
        <w:shd w:val="clear" w:color="auto" w:fill="FFFFFF"/>
        <w:ind w:firstLine="709"/>
        <w:jc w:val="both"/>
        <w:rPr>
          <w:rFonts w:ascii="Times New Roman" w:hAnsi="Times New Roman"/>
          <w:sz w:val="28"/>
        </w:rPr>
      </w:pPr>
      <w:r w:rsidRPr="006F7DBC">
        <w:rPr>
          <w:rFonts w:ascii="Times New Roman" w:hAnsi="Times New Roman"/>
          <w:sz w:val="28"/>
        </w:rPr>
        <w:t xml:space="preserve">1. </w:t>
      </w:r>
      <w:r>
        <w:rPr>
          <w:rFonts w:ascii="Times New Roman" w:hAnsi="Times New Roman"/>
          <w:sz w:val="28"/>
        </w:rPr>
        <w:t>Капитальный ремонт дворовой территории многоквартирного дома №10 по ул.Ленина с.Субханкулово: были выполнены работы по расширению и асфальтированию автостоянки с заменой бортовых камней.  Контракт был заключен с ООО «Инфодорстрой» на сумму 887,788 тыс. рублей. На сэкономленные средства с аукциона приобретены скамейки на сумму 21,488 тыс.рублей.</w:t>
      </w:r>
    </w:p>
    <w:p w:rsidR="003E22AA" w:rsidRDefault="003E22AA" w:rsidP="005D385C">
      <w:pPr>
        <w:pStyle w:val="NoSpacing"/>
        <w:shd w:val="clear" w:color="auto" w:fill="FFFFFF"/>
        <w:ind w:firstLine="709"/>
        <w:jc w:val="both"/>
        <w:rPr>
          <w:rFonts w:ascii="Times New Roman" w:hAnsi="Times New Roman"/>
          <w:sz w:val="28"/>
        </w:rPr>
      </w:pPr>
      <w:r w:rsidRPr="006F7DBC">
        <w:rPr>
          <w:rFonts w:ascii="Times New Roman" w:hAnsi="Times New Roman"/>
          <w:sz w:val="28"/>
        </w:rPr>
        <w:t xml:space="preserve">2. </w:t>
      </w:r>
      <w:r>
        <w:rPr>
          <w:rFonts w:ascii="Times New Roman" w:hAnsi="Times New Roman"/>
          <w:sz w:val="28"/>
        </w:rPr>
        <w:t>Капитальный ремонт дворовой территории МКД № 5 и 9 по ул.Гагарина с.Субханкулово: были выполнены работы по расширению и асфальтированию автомобильной с заменой бортовых камней. Из-за некачественного и не своевременного выполнения подрядчиком  ООО «Регион 02»  работ согласно муниципального контракта на сумму 507.84 тыс. рублей оплата была произведена на сумму 171.956 тыс.рублей по дополнительному соглашению согласно фактически выполненным объемам работ на основании акта выполненных работ (КС-2), справки о стоимости выполненных работ (КС-3). Остаток денежных средств возвращены в федеральный и региональный бюджеты.</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На сэкономленные средства с аукциона приобретены уличные фонари на сумму 22,852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3. Благоустройство сквера памяти по ул.Черняева с.Субханкулово: были выполнены работы по замене асфальтобетонного покрытия на тротуарную плитку. Контракт был заключен с ООО « СтройКомплекс» на сумму 311,240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4. Благоустройство подъезда к школе по ул.Первомайская д.Нуркеево: выполнены работы по ремонту асфальтобетонного покрытия. контракт был заключен с ООО «Инфодорстрой» на сумму 291.04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На сэкономленные средства в рамках муниципальной программы с общественных территорий) – приобретены скамейки, урны, входная арка на сумму – 45.96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На благоустройство дворовых территорий использовано средств:</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РФ (83,55 %) – 851,869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РБ (16,45%) – 167,727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жителей  ( 5%) – 8,598 тыс.рублей</w:t>
      </w:r>
    </w:p>
    <w:p w:rsidR="003E22AA" w:rsidRDefault="003E22AA" w:rsidP="005D385C">
      <w:pPr>
        <w:pStyle w:val="NoSpacing"/>
        <w:shd w:val="clear" w:color="auto" w:fill="FFFFFF"/>
        <w:ind w:firstLine="709"/>
        <w:jc w:val="both"/>
        <w:rPr>
          <w:rFonts w:ascii="Times New Roman" w:hAnsi="Times New Roman"/>
          <w:sz w:val="28"/>
        </w:rPr>
      </w:pPr>
      <w:r>
        <w:rPr>
          <w:rFonts w:ascii="Times New Roman" w:hAnsi="Times New Roman"/>
          <w:sz w:val="28"/>
        </w:rPr>
        <w:t>На благоустройство общественных территорий использовано средств:</w:t>
      </w:r>
    </w:p>
    <w:p w:rsidR="003E22AA" w:rsidRDefault="003E22AA" w:rsidP="003A14A0">
      <w:pPr>
        <w:pStyle w:val="NoSpacing"/>
        <w:shd w:val="clear" w:color="auto" w:fill="FFFFFF"/>
        <w:ind w:firstLine="709"/>
        <w:jc w:val="both"/>
        <w:rPr>
          <w:rFonts w:ascii="Times New Roman" w:hAnsi="Times New Roman"/>
          <w:sz w:val="28"/>
        </w:rPr>
      </w:pPr>
      <w:r>
        <w:rPr>
          <w:rFonts w:ascii="Times New Roman" w:hAnsi="Times New Roman"/>
          <w:sz w:val="28"/>
        </w:rPr>
        <w:t>РФ (83,55 %) – 518,76 тыс.рублей</w:t>
      </w:r>
    </w:p>
    <w:p w:rsidR="003E22AA" w:rsidRDefault="003E22AA" w:rsidP="003A14A0">
      <w:pPr>
        <w:pStyle w:val="NoSpacing"/>
        <w:shd w:val="clear" w:color="auto" w:fill="FFFFFF"/>
        <w:ind w:firstLine="709"/>
        <w:jc w:val="both"/>
        <w:rPr>
          <w:rFonts w:ascii="Times New Roman" w:hAnsi="Times New Roman"/>
          <w:sz w:val="28"/>
        </w:rPr>
      </w:pPr>
      <w:r>
        <w:rPr>
          <w:rFonts w:ascii="Times New Roman" w:hAnsi="Times New Roman"/>
          <w:sz w:val="28"/>
        </w:rPr>
        <w:t>РБ (16,45%) – 102,13 тыс.рублей</w:t>
      </w:r>
    </w:p>
    <w:p w:rsidR="003E22AA" w:rsidRDefault="003E22AA" w:rsidP="003A14A0">
      <w:pPr>
        <w:pStyle w:val="NoSpacing"/>
        <w:shd w:val="clear" w:color="auto" w:fill="FFFFFF"/>
        <w:ind w:firstLine="709"/>
        <w:jc w:val="both"/>
        <w:rPr>
          <w:rFonts w:ascii="Times New Roman" w:hAnsi="Times New Roman"/>
          <w:sz w:val="28"/>
        </w:rPr>
      </w:pPr>
      <w:r>
        <w:rPr>
          <w:rFonts w:ascii="Times New Roman" w:hAnsi="Times New Roman"/>
          <w:sz w:val="28"/>
        </w:rPr>
        <w:t>Дополнительные средства – 44,70 тыс.рублей</w:t>
      </w:r>
    </w:p>
    <w:p w:rsidR="003E22AA" w:rsidRDefault="003E22AA" w:rsidP="005D385C">
      <w:pPr>
        <w:pStyle w:val="NoSpacing"/>
        <w:shd w:val="clear" w:color="auto" w:fill="FFFFFF"/>
        <w:ind w:firstLine="709"/>
        <w:jc w:val="both"/>
        <w:rPr>
          <w:rFonts w:ascii="Times New Roman" w:hAnsi="Times New Roman"/>
          <w:sz w:val="28"/>
        </w:rPr>
      </w:pPr>
    </w:p>
    <w:p w:rsidR="003E22AA" w:rsidRDefault="003E22AA" w:rsidP="005D385C">
      <w:pPr>
        <w:pStyle w:val="NoSpacing"/>
        <w:shd w:val="clear" w:color="auto" w:fill="FFFFFF"/>
        <w:ind w:firstLine="709"/>
        <w:jc w:val="both"/>
        <w:rPr>
          <w:rFonts w:ascii="Times New Roman" w:hAnsi="Times New Roman"/>
          <w:sz w:val="28"/>
        </w:rPr>
      </w:pPr>
    </w:p>
    <w:p w:rsidR="003E22AA" w:rsidRPr="006F7DBC" w:rsidRDefault="003E22AA" w:rsidP="005D385C">
      <w:pPr>
        <w:pStyle w:val="NoSpacing"/>
        <w:shd w:val="clear" w:color="auto" w:fill="FFFFFF"/>
        <w:ind w:firstLine="709"/>
        <w:jc w:val="both"/>
        <w:rPr>
          <w:rFonts w:ascii="Times New Roman" w:hAnsi="Times New Roman"/>
          <w:sz w:val="28"/>
        </w:rPr>
      </w:pPr>
      <w:r w:rsidRPr="006F7DBC">
        <w:rPr>
          <w:rFonts w:ascii="Times New Roman" w:hAnsi="Times New Roman"/>
          <w:sz w:val="28"/>
        </w:rPr>
        <w:t xml:space="preserve">В соответствии с детализированным перечнем мероприятий по благоустройству дворовых территорий было запланировано провести в 2018 году благоустройство на </w:t>
      </w:r>
      <w:r>
        <w:rPr>
          <w:rFonts w:ascii="Times New Roman" w:hAnsi="Times New Roman"/>
          <w:sz w:val="28"/>
        </w:rPr>
        <w:t>2</w:t>
      </w:r>
      <w:r w:rsidRPr="006F7DBC">
        <w:rPr>
          <w:rFonts w:ascii="Times New Roman" w:hAnsi="Times New Roman"/>
          <w:sz w:val="28"/>
        </w:rPr>
        <w:t xml:space="preserve"> дворов</w:t>
      </w:r>
      <w:r>
        <w:rPr>
          <w:rFonts w:ascii="Times New Roman" w:hAnsi="Times New Roman"/>
          <w:sz w:val="28"/>
        </w:rPr>
        <w:t xml:space="preserve">ых и 2 общественных </w:t>
      </w:r>
      <w:r w:rsidRPr="006F7DBC">
        <w:rPr>
          <w:rFonts w:ascii="Times New Roman" w:hAnsi="Times New Roman"/>
          <w:sz w:val="28"/>
        </w:rPr>
        <w:t>территори</w:t>
      </w:r>
      <w:r>
        <w:rPr>
          <w:rFonts w:ascii="Times New Roman" w:hAnsi="Times New Roman"/>
          <w:sz w:val="28"/>
        </w:rPr>
        <w:t>ях</w:t>
      </w:r>
      <w:r w:rsidRPr="006F7DBC">
        <w:rPr>
          <w:rFonts w:ascii="Times New Roman" w:hAnsi="Times New Roman"/>
          <w:sz w:val="28"/>
        </w:rPr>
        <w:t>.</w:t>
      </w:r>
    </w:p>
    <w:p w:rsidR="003E22AA" w:rsidRPr="00C37634" w:rsidRDefault="003E22AA" w:rsidP="005D385C">
      <w:pPr>
        <w:pStyle w:val="NoSpacing"/>
        <w:shd w:val="clear" w:color="auto" w:fill="FFFFFF"/>
        <w:ind w:firstLine="709"/>
        <w:jc w:val="both"/>
        <w:rPr>
          <w:rFonts w:ascii="Times New Roman" w:hAnsi="Times New Roman"/>
          <w:sz w:val="28"/>
        </w:rPr>
      </w:pPr>
      <w:r w:rsidRPr="006F7DBC">
        <w:rPr>
          <w:rFonts w:ascii="Times New Roman" w:hAnsi="Times New Roman"/>
          <w:sz w:val="28"/>
        </w:rPr>
        <w:t>В результате исполнения мероприятия были установлены элементы благоустройства:</w:t>
      </w:r>
      <w:r>
        <w:rPr>
          <w:rFonts w:ascii="Times New Roman" w:hAnsi="Times New Roman"/>
          <w:sz w:val="28"/>
        </w:rPr>
        <w:t xml:space="preserve"> </w:t>
      </w:r>
      <w:r w:rsidRPr="006F7DBC">
        <w:rPr>
          <w:rFonts w:ascii="Times New Roman" w:hAnsi="Times New Roman"/>
          <w:sz w:val="28"/>
        </w:rPr>
        <w:t xml:space="preserve"> </w:t>
      </w:r>
      <w:r w:rsidRPr="00C37634">
        <w:rPr>
          <w:rFonts w:ascii="Times New Roman" w:hAnsi="Times New Roman"/>
          <w:sz w:val="28"/>
        </w:rPr>
        <w:t>6 урны, 4 скамейки, 3 светильника, проведен ремонт асфальтобетонных покрытий  (792 м2), обустройство тротуарной плитки (280 м2)</w:t>
      </w:r>
    </w:p>
    <w:p w:rsidR="003E22AA" w:rsidRPr="006F7DBC" w:rsidRDefault="003E22AA" w:rsidP="005D385C">
      <w:pPr>
        <w:pStyle w:val="NoSpacing"/>
        <w:shd w:val="clear" w:color="auto" w:fill="FFFFFF"/>
        <w:ind w:firstLine="709"/>
        <w:jc w:val="both"/>
        <w:rPr>
          <w:rFonts w:ascii="Times New Roman" w:hAnsi="Times New Roman"/>
          <w:sz w:val="28"/>
        </w:rPr>
      </w:pPr>
    </w:p>
    <w:p w:rsidR="003E22AA" w:rsidRPr="003A14A0" w:rsidRDefault="003E22AA" w:rsidP="003A14A0">
      <w:pPr>
        <w:tabs>
          <w:tab w:val="left" w:pos="709"/>
          <w:tab w:val="left" w:pos="1276"/>
          <w:tab w:val="left" w:pos="1560"/>
        </w:tabs>
        <w:jc w:val="both"/>
        <w:rPr>
          <w:b/>
          <w:sz w:val="28"/>
          <w:szCs w:val="28"/>
        </w:rPr>
      </w:pPr>
      <w:r w:rsidRPr="003A14A0">
        <w:rPr>
          <w:b/>
          <w:sz w:val="28"/>
          <w:szCs w:val="28"/>
        </w:rPr>
        <w:t>Эффективность реализации муниципальной программы оценивается как удовлетворительная</w:t>
      </w:r>
      <w:r>
        <w:rPr>
          <w:b/>
          <w:sz w:val="28"/>
          <w:szCs w:val="28"/>
        </w:rPr>
        <w:t>.</w:t>
      </w:r>
      <w:r w:rsidRPr="003A14A0">
        <w:rPr>
          <w:b/>
          <w:sz w:val="28"/>
          <w:szCs w:val="28"/>
        </w:rPr>
        <w:t xml:space="preserve"> </w:t>
      </w:r>
    </w:p>
    <w:p w:rsidR="003E22AA" w:rsidRPr="006F7DBC" w:rsidRDefault="003E22AA" w:rsidP="005D385C">
      <w:pPr>
        <w:ind w:firstLine="709"/>
        <w:jc w:val="both"/>
        <w:rPr>
          <w:szCs w:val="24"/>
        </w:rPr>
      </w:pPr>
    </w:p>
    <w:p w:rsidR="003E22AA" w:rsidRPr="006F7DBC" w:rsidRDefault="003E22AA" w:rsidP="0072042A">
      <w:pPr>
        <w:jc w:val="both"/>
        <w:rPr>
          <w:sz w:val="28"/>
        </w:rPr>
      </w:pPr>
      <w:r w:rsidRPr="006F7DBC">
        <w:rPr>
          <w:sz w:val="28"/>
        </w:rPr>
        <w:t>Данный анализ</w:t>
      </w:r>
      <w:r w:rsidRPr="006F7DBC">
        <w:rPr>
          <w:b/>
          <w:sz w:val="28"/>
        </w:rPr>
        <w:t xml:space="preserve"> </w:t>
      </w:r>
      <w:r>
        <w:rPr>
          <w:sz w:val="28"/>
        </w:rPr>
        <w:t>отражает хороший</w:t>
      </w:r>
      <w:r w:rsidRPr="006F7DBC">
        <w:rPr>
          <w:sz w:val="28"/>
        </w:rPr>
        <w:t xml:space="preserve"> уровень реализации программ и эффективность проведенных мероприятий, что в свою очередь говорит об успешном выполнении стратегических целей, поставленных документами стратегического планирования муниципального образования. </w:t>
      </w:r>
    </w:p>
    <w:p w:rsidR="003E22AA" w:rsidRPr="0072042A" w:rsidRDefault="003E22AA" w:rsidP="0072042A">
      <w:pPr>
        <w:pStyle w:val="NoSpacing"/>
        <w:shd w:val="clear" w:color="auto" w:fill="FFFFFF"/>
        <w:jc w:val="both"/>
        <w:rPr>
          <w:rFonts w:ascii="Times New Roman" w:hAnsi="Times New Roman"/>
          <w:sz w:val="28"/>
        </w:rPr>
      </w:pPr>
    </w:p>
    <w:p w:rsidR="003E22AA" w:rsidRDefault="003E22AA"/>
    <w:sectPr w:rsidR="003E22AA" w:rsidSect="001A3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64F8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CA97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E688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EA7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FE2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D6E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9E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0EF3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4A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3C05DA"/>
    <w:lvl w:ilvl="0">
      <w:start w:val="1"/>
      <w:numFmt w:val="bullet"/>
      <w:lvlText w:val=""/>
      <w:lvlJc w:val="left"/>
      <w:pPr>
        <w:tabs>
          <w:tab w:val="num" w:pos="360"/>
        </w:tabs>
        <w:ind w:left="360" w:hanging="360"/>
      </w:pPr>
      <w:rPr>
        <w:rFonts w:ascii="Symbol" w:hAnsi="Symbol" w:hint="default"/>
      </w:rPr>
    </w:lvl>
  </w:abstractNum>
  <w:abstractNum w:abstractNumId="10">
    <w:nsid w:val="11191F86"/>
    <w:multiLevelType w:val="hybridMultilevel"/>
    <w:tmpl w:val="7D5C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E3EEC"/>
    <w:multiLevelType w:val="hybridMultilevel"/>
    <w:tmpl w:val="F7DEA08A"/>
    <w:lvl w:ilvl="0" w:tplc="06FE9418">
      <w:start w:val="10"/>
      <w:numFmt w:val="decimal"/>
      <w:lvlText w:val="%1."/>
      <w:lvlJc w:val="left"/>
      <w:pPr>
        <w:ind w:left="1793"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DA95605"/>
    <w:multiLevelType w:val="hybridMultilevel"/>
    <w:tmpl w:val="7406841A"/>
    <w:lvl w:ilvl="0" w:tplc="56D2276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55A31227"/>
    <w:multiLevelType w:val="hybridMultilevel"/>
    <w:tmpl w:val="35FC6CE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
    <w:nsid w:val="5F0926A3"/>
    <w:multiLevelType w:val="hybridMultilevel"/>
    <w:tmpl w:val="30963D20"/>
    <w:lvl w:ilvl="0" w:tplc="5F96871E">
      <w:start w:val="1"/>
      <w:numFmt w:val="bullet"/>
      <w:lvlText w:val=""/>
      <w:lvlJc w:val="left"/>
      <w:pPr>
        <w:ind w:left="1875" w:hanging="360"/>
      </w:pPr>
      <w:rPr>
        <w:rFonts w:ascii="Symbol" w:hAnsi="Symbol" w:hint="default"/>
        <w:color w:val="auto"/>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6">
    <w:nsid w:val="651F16B1"/>
    <w:multiLevelType w:val="hybridMultilevel"/>
    <w:tmpl w:val="D12E7AC6"/>
    <w:lvl w:ilvl="0" w:tplc="7278D06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87581"/>
    <w:multiLevelType w:val="hybridMultilevel"/>
    <w:tmpl w:val="6212DC6E"/>
    <w:lvl w:ilvl="0" w:tplc="26FA9B0A">
      <w:start w:val="1"/>
      <w:numFmt w:val="bullet"/>
      <w:lvlText w:val=""/>
      <w:lvlJc w:val="left"/>
      <w:pPr>
        <w:ind w:left="3556"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A15B1"/>
    <w:multiLevelType w:val="hybridMultilevel"/>
    <w:tmpl w:val="A6BAB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102466"/>
    <w:multiLevelType w:val="hybridMultilevel"/>
    <w:tmpl w:val="CB0C0112"/>
    <w:lvl w:ilvl="0" w:tplc="25A4563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355321"/>
    <w:multiLevelType w:val="hybridMultilevel"/>
    <w:tmpl w:val="936AB468"/>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1">
    <w:nsid w:val="7FDE4A97"/>
    <w:multiLevelType w:val="hybridMultilevel"/>
    <w:tmpl w:val="6098021E"/>
    <w:lvl w:ilvl="0" w:tplc="A168ABEA">
      <w:start w:val="1"/>
      <w:numFmt w:val="bullet"/>
      <w:lvlText w:val=""/>
      <w:lvlJc w:val="left"/>
      <w:pPr>
        <w:ind w:left="2847"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5"/>
  </w:num>
  <w:num w:numId="4">
    <w:abstractNumId w:val="10"/>
  </w:num>
  <w:num w:numId="5">
    <w:abstractNumId w:val="20"/>
  </w:num>
  <w:num w:numId="6">
    <w:abstractNumId w:val="16"/>
  </w:num>
  <w:num w:numId="7">
    <w:abstractNumId w:val="12"/>
  </w:num>
  <w:num w:numId="8">
    <w:abstractNumId w:val="21"/>
  </w:num>
  <w:num w:numId="9">
    <w:abstractNumId w:val="17"/>
  </w:num>
  <w:num w:numId="10">
    <w:abstractNumId w:val="19"/>
  </w:num>
  <w:num w:numId="11">
    <w:abstractNumId w:val="18"/>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85C"/>
    <w:rsid w:val="000222FC"/>
    <w:rsid w:val="000D1F37"/>
    <w:rsid w:val="0019493D"/>
    <w:rsid w:val="001A38ED"/>
    <w:rsid w:val="001E38CF"/>
    <w:rsid w:val="00243541"/>
    <w:rsid w:val="002A0E7D"/>
    <w:rsid w:val="002E4CED"/>
    <w:rsid w:val="003A14A0"/>
    <w:rsid w:val="003E22AA"/>
    <w:rsid w:val="0043619E"/>
    <w:rsid w:val="004E058D"/>
    <w:rsid w:val="00505DEA"/>
    <w:rsid w:val="00525A13"/>
    <w:rsid w:val="005D385C"/>
    <w:rsid w:val="006944B8"/>
    <w:rsid w:val="006F662C"/>
    <w:rsid w:val="006F7DBC"/>
    <w:rsid w:val="00704A2F"/>
    <w:rsid w:val="0072042A"/>
    <w:rsid w:val="007255F5"/>
    <w:rsid w:val="007905C5"/>
    <w:rsid w:val="007D58EA"/>
    <w:rsid w:val="008861B6"/>
    <w:rsid w:val="008A0D33"/>
    <w:rsid w:val="008B378E"/>
    <w:rsid w:val="009217E9"/>
    <w:rsid w:val="00A05D34"/>
    <w:rsid w:val="00AF1096"/>
    <w:rsid w:val="00B34B80"/>
    <w:rsid w:val="00B71ACB"/>
    <w:rsid w:val="00B97000"/>
    <w:rsid w:val="00C37634"/>
    <w:rsid w:val="00DC73C8"/>
    <w:rsid w:val="00F5542F"/>
    <w:rsid w:val="00FF1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5C"/>
    <w:rPr>
      <w:rFonts w:eastAsia="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Нумерованный список !!,Основной текст 1,Надин стиль"/>
    <w:basedOn w:val="Normal"/>
    <w:link w:val="BodyTextIndentChar"/>
    <w:uiPriority w:val="99"/>
    <w:rsid w:val="005D385C"/>
    <w:pPr>
      <w:ind w:firstLine="709"/>
      <w:jc w:val="both"/>
    </w:pPr>
  </w:style>
  <w:style w:type="character" w:customStyle="1" w:styleId="BodyTextIndentChar">
    <w:name w:val="Body Text Indent Char"/>
    <w:aliases w:val="Нумерованный список !! Char,Основной текст 1 Char,Надин стиль Char"/>
    <w:basedOn w:val="DefaultParagraphFont"/>
    <w:link w:val="BodyTextIndent"/>
    <w:uiPriority w:val="99"/>
    <w:semiHidden/>
    <w:locked/>
    <w:rsid w:val="00B34B80"/>
    <w:rPr>
      <w:rFonts w:eastAsia="Times New Roman" w:cs="Times New Roman"/>
      <w:sz w:val="20"/>
      <w:szCs w:val="20"/>
    </w:rPr>
  </w:style>
  <w:style w:type="paragraph" w:styleId="NoSpacing">
    <w:name w:val="No Spacing"/>
    <w:aliases w:val="Без интервала"/>
    <w:uiPriority w:val="99"/>
    <w:qFormat/>
    <w:rsid w:val="005D385C"/>
    <w:rPr>
      <w:rFonts w:ascii="Calibri" w:eastAsia="Times New Roman" w:hAnsi="Calibri"/>
      <w:szCs w:val="20"/>
    </w:rPr>
  </w:style>
  <w:style w:type="paragraph" w:customStyle="1" w:styleId="NoSpacing1">
    <w:name w:val="No Spacing1"/>
    <w:link w:val="NoSpacingChar"/>
    <w:uiPriority w:val="99"/>
    <w:rsid w:val="005D385C"/>
    <w:rPr>
      <w:rFonts w:ascii="Calibri" w:hAnsi="Calibri"/>
    </w:rPr>
  </w:style>
  <w:style w:type="character" w:customStyle="1" w:styleId="NoSpacingChar">
    <w:name w:val="No Spacing Char"/>
    <w:link w:val="NoSpacing1"/>
    <w:uiPriority w:val="99"/>
    <w:locked/>
    <w:rsid w:val="005D385C"/>
    <w:rPr>
      <w:rFonts w:ascii="Calibri" w:hAnsi="Calibri"/>
      <w:sz w:val="22"/>
      <w:lang w:eastAsia="ru-RU"/>
    </w:rPr>
  </w:style>
  <w:style w:type="paragraph" w:styleId="NormalWeb">
    <w:name w:val="Normal (Web)"/>
    <w:aliases w:val="Обычный (Web)1,Обычный (веб) Знак1,Обычный (веб) Знак Знак,Обычный (Web),Знак Знак,Обычный (веб)1"/>
    <w:basedOn w:val="Normal"/>
    <w:link w:val="NormalWebChar"/>
    <w:uiPriority w:val="99"/>
    <w:rsid w:val="005D385C"/>
    <w:pPr>
      <w:spacing w:before="100" w:beforeAutospacing="1" w:after="100" w:afterAutospacing="1"/>
    </w:pPr>
    <w:rPr>
      <w:sz w:val="20"/>
    </w:rPr>
  </w:style>
  <w:style w:type="character" w:customStyle="1" w:styleId="NormalWebChar">
    <w:name w:val="Normal (Web) Char"/>
    <w:aliases w:val="Обычный (Web)1 Char,Обычный (веб) Знак1 Char,Обычный (веб) Знак Знак Char,Обычный (Web) Char,Знак Знак Char,Обычный (веб)1 Char"/>
    <w:link w:val="NormalWeb"/>
    <w:uiPriority w:val="99"/>
    <w:locked/>
    <w:rsid w:val="005D385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4</Pages>
  <Words>1127</Words>
  <Characters>6425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2019-04-11T10:27:00Z</dcterms:created>
  <dcterms:modified xsi:type="dcterms:W3CDTF">2019-04-11T13:59:00Z</dcterms:modified>
</cp:coreProperties>
</file>